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10" w:rsidRPr="007602AC" w:rsidRDefault="00F31610" w:rsidP="0042537D">
      <w:pPr>
        <w:spacing w:before="120" w:after="120"/>
        <w:jc w:val="right"/>
        <w:rPr>
          <w:rFonts w:eastAsia="Times New Roman"/>
          <w:sz w:val="18"/>
          <w:lang w:eastAsia="hu-HU"/>
        </w:rPr>
      </w:pPr>
      <w:r w:rsidRPr="007602AC">
        <w:rPr>
          <w:rFonts w:eastAsia="Times New Roman"/>
          <w:b/>
          <w:bCs/>
          <w:sz w:val="28"/>
          <w:szCs w:val="40"/>
          <w:lang w:eastAsia="hu-HU"/>
        </w:rPr>
        <w:t>Ajánlat</w:t>
      </w:r>
      <w:r w:rsidR="008C122D" w:rsidRPr="007602AC">
        <w:rPr>
          <w:rFonts w:eastAsia="Times New Roman"/>
          <w:b/>
          <w:bCs/>
          <w:sz w:val="28"/>
          <w:szCs w:val="40"/>
          <w:lang w:eastAsia="hu-HU"/>
        </w:rPr>
        <w:t>tétel</w:t>
      </w:r>
      <w:r w:rsidRPr="007602AC">
        <w:rPr>
          <w:rFonts w:eastAsia="Times New Roman"/>
          <w:b/>
          <w:bCs/>
          <w:sz w:val="28"/>
          <w:szCs w:val="40"/>
          <w:lang w:eastAsia="hu-HU"/>
        </w:rPr>
        <w:t>i felhívás</w:t>
      </w:r>
    </w:p>
    <w:p w:rsidR="00F31610" w:rsidRPr="00F31610" w:rsidRDefault="008C122D" w:rsidP="0042537D">
      <w:pPr>
        <w:spacing w:before="120" w:after="120"/>
        <w:jc w:val="right"/>
        <w:rPr>
          <w:rFonts w:eastAsia="Times New Roman"/>
          <w:lang w:eastAsia="hu-HU"/>
        </w:rPr>
      </w:pPr>
      <w:r w:rsidRPr="00F31610">
        <w:rPr>
          <w:rFonts w:eastAsia="Times New Roman"/>
          <w:i/>
          <w:iCs/>
          <w:sz w:val="18"/>
          <w:szCs w:val="18"/>
          <w:lang w:eastAsia="hu-HU"/>
        </w:rPr>
        <w:t>A Kbt. 11</w:t>
      </w:r>
      <w:r>
        <w:rPr>
          <w:rFonts w:eastAsia="Times New Roman"/>
          <w:i/>
          <w:iCs/>
          <w:sz w:val="18"/>
          <w:szCs w:val="18"/>
          <w:lang w:eastAsia="hu-HU"/>
        </w:rPr>
        <w:t>5</w:t>
      </w:r>
      <w:r w:rsidRPr="00F31610">
        <w:rPr>
          <w:rFonts w:eastAsia="Times New Roman"/>
          <w:i/>
          <w:iCs/>
          <w:sz w:val="18"/>
          <w:szCs w:val="18"/>
          <w:lang w:eastAsia="hu-HU"/>
        </w:rPr>
        <w:t xml:space="preserve">. § szerinti </w:t>
      </w:r>
      <w:r>
        <w:rPr>
          <w:rFonts w:eastAsia="Times New Roman"/>
          <w:i/>
          <w:iCs/>
          <w:sz w:val="18"/>
          <w:szCs w:val="18"/>
          <w:lang w:eastAsia="hu-HU"/>
        </w:rPr>
        <w:t>nyílt eljárás</w:t>
      </w:r>
      <w:r w:rsidR="00F31610" w:rsidRPr="00F31610">
        <w:rPr>
          <w:rFonts w:eastAsia="Times New Roman"/>
          <w:i/>
          <w:iCs/>
          <w:sz w:val="18"/>
          <w:szCs w:val="18"/>
          <w:lang w:eastAsia="hu-HU"/>
        </w:rPr>
        <w:t>.</w:t>
      </w:r>
    </w:p>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 szakasz: Ajánlatkérő</w:t>
      </w:r>
    </w:p>
    <w:p w:rsidR="00F31610" w:rsidRPr="00F31610" w:rsidRDefault="008C122D" w:rsidP="0042537D">
      <w:pPr>
        <w:spacing w:before="120" w:after="120"/>
        <w:jc w:val="left"/>
        <w:rPr>
          <w:rFonts w:eastAsia="Times New Roman"/>
          <w:lang w:eastAsia="hu-HU"/>
        </w:rPr>
      </w:pPr>
      <w:r>
        <w:rPr>
          <w:rFonts w:eastAsia="Times New Roman"/>
          <w:b/>
          <w:bCs/>
          <w:lang w:eastAsia="hu-HU"/>
        </w:rPr>
        <w:t>I.1) Név és címek</w:t>
      </w:r>
    </w:p>
    <w:tbl>
      <w:tblPr>
        <w:tblW w:w="9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1598"/>
        <w:gridCol w:w="567"/>
        <w:gridCol w:w="2551"/>
      </w:tblGrid>
      <w:tr w:rsidR="005D54A9" w:rsidRPr="00F31610" w:rsidTr="00C74649">
        <w:tc>
          <w:tcPr>
            <w:tcW w:w="6743" w:type="dxa"/>
            <w:gridSpan w:val="3"/>
            <w:hideMark/>
          </w:tcPr>
          <w:p w:rsidR="005D54A9" w:rsidRPr="00F31610" w:rsidRDefault="005D54A9" w:rsidP="00C74649">
            <w:pPr>
              <w:spacing w:before="120" w:after="120"/>
              <w:jc w:val="left"/>
              <w:rPr>
                <w:rFonts w:eastAsia="Times New Roman"/>
                <w:lang w:eastAsia="hu-HU"/>
              </w:rPr>
            </w:pPr>
            <w:r w:rsidRPr="00F31610">
              <w:rPr>
                <w:rFonts w:eastAsia="Times New Roman"/>
                <w:sz w:val="18"/>
                <w:szCs w:val="18"/>
                <w:lang w:eastAsia="hu-HU"/>
              </w:rPr>
              <w:t>Hivatalos név:</w:t>
            </w:r>
            <w:r>
              <w:rPr>
                <w:rFonts w:eastAsia="Times New Roman"/>
                <w:sz w:val="18"/>
                <w:szCs w:val="18"/>
                <w:lang w:eastAsia="hu-HU"/>
              </w:rPr>
              <w:t xml:space="preserve"> </w:t>
            </w:r>
            <w:r w:rsidR="00B9035F" w:rsidRPr="00B9035F">
              <w:rPr>
                <w:rFonts w:eastAsia="Times New Roman"/>
                <w:sz w:val="18"/>
                <w:szCs w:val="18"/>
                <w:lang w:eastAsia="hu-HU"/>
              </w:rPr>
              <w:t>Péteri Község Önkormányzata</w:t>
            </w:r>
          </w:p>
        </w:tc>
        <w:tc>
          <w:tcPr>
            <w:tcW w:w="3118" w:type="dxa"/>
            <w:gridSpan w:val="2"/>
            <w:hideMark/>
          </w:tcPr>
          <w:p w:rsidR="005D54A9" w:rsidRPr="00F31610" w:rsidRDefault="005D54A9" w:rsidP="00C74649">
            <w:pPr>
              <w:spacing w:before="120" w:after="120"/>
              <w:jc w:val="left"/>
              <w:rPr>
                <w:rFonts w:eastAsia="Times New Roman"/>
                <w:lang w:eastAsia="hu-HU"/>
              </w:rPr>
            </w:pPr>
            <w:r w:rsidRPr="00F31610">
              <w:rPr>
                <w:rFonts w:eastAsia="Times New Roman"/>
                <w:sz w:val="18"/>
                <w:szCs w:val="18"/>
                <w:lang w:eastAsia="hu-HU"/>
              </w:rPr>
              <w:t>Nemzeti azonosítószám:</w:t>
            </w:r>
            <w:r>
              <w:rPr>
                <w:rFonts w:eastAsia="Times New Roman"/>
                <w:sz w:val="18"/>
                <w:szCs w:val="18"/>
                <w:lang w:eastAsia="hu-HU"/>
              </w:rPr>
              <w:t xml:space="preserve"> </w:t>
            </w:r>
            <w:r w:rsidR="00B9035F" w:rsidRPr="00B9035F">
              <w:rPr>
                <w:rFonts w:eastAsia="Times New Roman"/>
                <w:sz w:val="18"/>
                <w:szCs w:val="18"/>
                <w:lang w:eastAsia="hu-HU"/>
              </w:rPr>
              <w:t xml:space="preserve">AK16156 </w:t>
            </w:r>
            <w:r w:rsidRPr="00F31610">
              <w:rPr>
                <w:rFonts w:eastAsia="Times New Roman"/>
                <w:sz w:val="18"/>
                <w:szCs w:val="18"/>
                <w:lang w:eastAsia="hu-HU"/>
              </w:rPr>
              <w:t xml:space="preserve"> </w:t>
            </w:r>
          </w:p>
        </w:tc>
      </w:tr>
      <w:tr w:rsidR="005D54A9" w:rsidRPr="00F31610" w:rsidTr="00C74649">
        <w:tc>
          <w:tcPr>
            <w:tcW w:w="9861" w:type="dxa"/>
            <w:gridSpan w:val="5"/>
            <w:hideMark/>
          </w:tcPr>
          <w:p w:rsidR="005D54A9" w:rsidRPr="00F31610" w:rsidRDefault="005D54A9" w:rsidP="00B9035F">
            <w:pPr>
              <w:spacing w:before="120" w:after="120"/>
              <w:jc w:val="left"/>
              <w:rPr>
                <w:rFonts w:eastAsia="Times New Roman"/>
                <w:lang w:eastAsia="hu-HU"/>
              </w:rPr>
            </w:pPr>
            <w:r w:rsidRPr="00F31610">
              <w:rPr>
                <w:rFonts w:eastAsia="Times New Roman"/>
                <w:sz w:val="18"/>
                <w:szCs w:val="18"/>
                <w:lang w:eastAsia="hu-HU"/>
              </w:rPr>
              <w:t>Postai cím:</w:t>
            </w:r>
            <w:r>
              <w:rPr>
                <w:rFonts w:eastAsia="Times New Roman"/>
                <w:sz w:val="18"/>
                <w:szCs w:val="18"/>
                <w:lang w:eastAsia="hu-HU"/>
              </w:rPr>
              <w:t xml:space="preserve"> </w:t>
            </w:r>
            <w:r w:rsidRPr="004D0271">
              <w:rPr>
                <w:rFonts w:eastAsia="Times New Roman"/>
                <w:sz w:val="18"/>
                <w:szCs w:val="18"/>
                <w:lang w:eastAsia="hu-HU"/>
              </w:rPr>
              <w:t xml:space="preserve">Kossuth Lajos u. </w:t>
            </w:r>
            <w:r w:rsidR="00B9035F">
              <w:rPr>
                <w:rFonts w:eastAsia="Times New Roman"/>
                <w:sz w:val="18"/>
                <w:szCs w:val="18"/>
                <w:lang w:eastAsia="hu-HU"/>
              </w:rPr>
              <w:t>2</w:t>
            </w:r>
            <w:r w:rsidRPr="004D0271">
              <w:rPr>
                <w:rFonts w:eastAsia="Times New Roman"/>
                <w:sz w:val="18"/>
                <w:szCs w:val="18"/>
                <w:lang w:eastAsia="hu-HU"/>
              </w:rPr>
              <w:t>.</w:t>
            </w:r>
          </w:p>
        </w:tc>
      </w:tr>
      <w:tr w:rsidR="005D54A9" w:rsidRPr="00F31610" w:rsidTr="00C74649">
        <w:tc>
          <w:tcPr>
            <w:tcW w:w="2915" w:type="dxa"/>
            <w:hideMark/>
          </w:tcPr>
          <w:p w:rsidR="005D54A9" w:rsidRPr="00F31610" w:rsidRDefault="005D54A9" w:rsidP="00B9035F">
            <w:pPr>
              <w:spacing w:before="120" w:after="120"/>
              <w:jc w:val="left"/>
              <w:rPr>
                <w:rFonts w:eastAsia="Times New Roman"/>
                <w:lang w:eastAsia="hu-HU"/>
              </w:rPr>
            </w:pPr>
            <w:r w:rsidRPr="00F31610">
              <w:rPr>
                <w:rFonts w:eastAsia="Times New Roman"/>
                <w:sz w:val="18"/>
                <w:szCs w:val="18"/>
                <w:lang w:eastAsia="hu-HU"/>
              </w:rPr>
              <w:t>Város:</w:t>
            </w:r>
            <w:r>
              <w:rPr>
                <w:rFonts w:eastAsia="Times New Roman"/>
                <w:sz w:val="18"/>
                <w:szCs w:val="18"/>
                <w:lang w:eastAsia="hu-HU"/>
              </w:rPr>
              <w:t xml:space="preserve"> </w:t>
            </w:r>
            <w:r w:rsidR="00B9035F">
              <w:rPr>
                <w:rFonts w:eastAsia="Times New Roman"/>
                <w:sz w:val="18"/>
                <w:szCs w:val="18"/>
                <w:lang w:eastAsia="hu-HU"/>
              </w:rPr>
              <w:t>Péteri</w:t>
            </w:r>
          </w:p>
        </w:tc>
        <w:tc>
          <w:tcPr>
            <w:tcW w:w="2230" w:type="dxa"/>
            <w:hideMark/>
          </w:tcPr>
          <w:p w:rsidR="005D54A9" w:rsidRPr="00F31610" w:rsidRDefault="005D54A9" w:rsidP="00C74649">
            <w:pPr>
              <w:spacing w:before="120" w:after="120"/>
              <w:jc w:val="left"/>
              <w:rPr>
                <w:rFonts w:eastAsia="Times New Roman"/>
                <w:lang w:eastAsia="hu-HU"/>
              </w:rPr>
            </w:pPr>
            <w:proofErr w:type="spellStart"/>
            <w:r w:rsidRPr="00F31610">
              <w:rPr>
                <w:rFonts w:eastAsia="Times New Roman"/>
                <w:sz w:val="18"/>
                <w:szCs w:val="18"/>
                <w:lang w:eastAsia="hu-HU"/>
              </w:rPr>
              <w:t>NUTS-kód</w:t>
            </w:r>
            <w:proofErr w:type="spellEnd"/>
            <w:r w:rsidRPr="00F31610">
              <w:rPr>
                <w:rFonts w:eastAsia="Times New Roman"/>
                <w:sz w:val="18"/>
                <w:szCs w:val="18"/>
                <w:lang w:eastAsia="hu-HU"/>
              </w:rPr>
              <w:t>:</w:t>
            </w:r>
            <w:r>
              <w:rPr>
                <w:rFonts w:eastAsia="Times New Roman"/>
                <w:sz w:val="18"/>
                <w:szCs w:val="18"/>
                <w:lang w:eastAsia="hu-HU"/>
              </w:rPr>
              <w:t xml:space="preserve"> HU102</w:t>
            </w:r>
          </w:p>
        </w:tc>
        <w:tc>
          <w:tcPr>
            <w:tcW w:w="2165" w:type="dxa"/>
            <w:gridSpan w:val="2"/>
            <w:hideMark/>
          </w:tcPr>
          <w:p w:rsidR="005D54A9" w:rsidRPr="00F31610" w:rsidRDefault="005D54A9" w:rsidP="00B9035F">
            <w:pPr>
              <w:spacing w:before="120" w:after="120"/>
              <w:jc w:val="left"/>
              <w:rPr>
                <w:rFonts w:eastAsia="Times New Roman"/>
                <w:lang w:eastAsia="hu-HU"/>
              </w:rPr>
            </w:pPr>
            <w:r w:rsidRPr="00F31610">
              <w:rPr>
                <w:rFonts w:eastAsia="Times New Roman"/>
                <w:sz w:val="18"/>
                <w:szCs w:val="18"/>
                <w:lang w:eastAsia="hu-HU"/>
              </w:rPr>
              <w:t>Postai irányítószám:</w:t>
            </w:r>
            <w:r>
              <w:rPr>
                <w:rFonts w:eastAsia="Times New Roman"/>
                <w:sz w:val="18"/>
                <w:szCs w:val="18"/>
                <w:lang w:eastAsia="hu-HU"/>
              </w:rPr>
              <w:t xml:space="preserve"> 2</w:t>
            </w:r>
            <w:r w:rsidR="00B9035F">
              <w:rPr>
                <w:rFonts w:eastAsia="Times New Roman"/>
                <w:sz w:val="18"/>
                <w:szCs w:val="18"/>
                <w:lang w:eastAsia="hu-HU"/>
              </w:rPr>
              <w:t>209</w:t>
            </w:r>
          </w:p>
        </w:tc>
        <w:tc>
          <w:tcPr>
            <w:tcW w:w="2551" w:type="dxa"/>
            <w:hideMark/>
          </w:tcPr>
          <w:p w:rsidR="005D54A9" w:rsidRPr="00F31610" w:rsidRDefault="005D54A9" w:rsidP="00C74649">
            <w:pPr>
              <w:spacing w:before="120" w:after="120"/>
              <w:jc w:val="left"/>
              <w:rPr>
                <w:rFonts w:eastAsia="Times New Roman"/>
                <w:lang w:eastAsia="hu-HU"/>
              </w:rPr>
            </w:pPr>
            <w:r w:rsidRPr="00F31610">
              <w:rPr>
                <w:rFonts w:eastAsia="Times New Roman"/>
                <w:sz w:val="18"/>
                <w:szCs w:val="18"/>
                <w:lang w:eastAsia="hu-HU"/>
              </w:rPr>
              <w:t>Ország:</w:t>
            </w:r>
            <w:r>
              <w:rPr>
                <w:rFonts w:eastAsia="Times New Roman"/>
                <w:sz w:val="18"/>
                <w:szCs w:val="18"/>
                <w:lang w:eastAsia="hu-HU"/>
              </w:rPr>
              <w:t xml:space="preserve"> Magyarország</w:t>
            </w:r>
          </w:p>
        </w:tc>
      </w:tr>
      <w:tr w:rsidR="005D54A9" w:rsidRPr="00F31610" w:rsidTr="00C74649">
        <w:tc>
          <w:tcPr>
            <w:tcW w:w="7310" w:type="dxa"/>
            <w:gridSpan w:val="4"/>
            <w:hideMark/>
          </w:tcPr>
          <w:p w:rsidR="005D54A9" w:rsidRPr="00F31610" w:rsidRDefault="005D54A9" w:rsidP="00C74649">
            <w:pPr>
              <w:spacing w:before="120" w:after="120"/>
              <w:jc w:val="left"/>
              <w:rPr>
                <w:rFonts w:eastAsia="Times New Roman"/>
                <w:lang w:eastAsia="hu-HU"/>
              </w:rPr>
            </w:pPr>
            <w:r w:rsidRPr="00F31610">
              <w:rPr>
                <w:rFonts w:eastAsia="Times New Roman"/>
                <w:sz w:val="18"/>
                <w:szCs w:val="18"/>
                <w:lang w:eastAsia="hu-HU"/>
              </w:rPr>
              <w:t>Kapcsolattartó személy:</w:t>
            </w:r>
            <w:r>
              <w:rPr>
                <w:rFonts w:eastAsia="Times New Roman"/>
                <w:sz w:val="18"/>
                <w:szCs w:val="18"/>
                <w:lang w:eastAsia="hu-HU"/>
              </w:rPr>
              <w:t xml:space="preserve"> </w:t>
            </w:r>
            <w:r w:rsidR="00B9035F" w:rsidRPr="00B9035F">
              <w:rPr>
                <w:rFonts w:eastAsia="Times New Roman"/>
                <w:sz w:val="18"/>
                <w:szCs w:val="18"/>
                <w:lang w:eastAsia="hu-HU"/>
              </w:rPr>
              <w:t>Petőné Vizi Valéria</w:t>
            </w:r>
            <w:r w:rsidR="00B9035F">
              <w:rPr>
                <w:rFonts w:eastAsia="Times New Roman"/>
                <w:sz w:val="18"/>
                <w:szCs w:val="18"/>
                <w:lang w:eastAsia="hu-HU"/>
              </w:rPr>
              <w:t xml:space="preserve"> </w:t>
            </w:r>
            <w:r w:rsidRPr="00B32445">
              <w:rPr>
                <w:rFonts w:eastAsia="Times New Roman"/>
                <w:sz w:val="18"/>
                <w:szCs w:val="18"/>
                <w:lang w:eastAsia="hu-HU"/>
              </w:rPr>
              <w:t>polgármester</w:t>
            </w:r>
          </w:p>
        </w:tc>
        <w:tc>
          <w:tcPr>
            <w:tcW w:w="2551" w:type="dxa"/>
            <w:hideMark/>
          </w:tcPr>
          <w:p w:rsidR="005D54A9" w:rsidRPr="00F31610" w:rsidRDefault="005D54A9" w:rsidP="00C74649">
            <w:pPr>
              <w:spacing w:before="120" w:after="120"/>
              <w:jc w:val="left"/>
              <w:rPr>
                <w:rFonts w:eastAsia="Times New Roman"/>
                <w:lang w:eastAsia="hu-HU"/>
              </w:rPr>
            </w:pPr>
            <w:r w:rsidRPr="00F31610">
              <w:rPr>
                <w:rFonts w:eastAsia="Times New Roman"/>
                <w:sz w:val="18"/>
                <w:szCs w:val="18"/>
                <w:lang w:eastAsia="hu-HU"/>
              </w:rPr>
              <w:t>Telefon:</w:t>
            </w:r>
            <w:r>
              <w:rPr>
                <w:rFonts w:eastAsia="Times New Roman"/>
                <w:sz w:val="18"/>
                <w:szCs w:val="18"/>
                <w:lang w:eastAsia="hu-HU"/>
              </w:rPr>
              <w:t xml:space="preserve"> +36 </w:t>
            </w:r>
            <w:r w:rsidR="00B9035F">
              <w:rPr>
                <w:rFonts w:eastAsia="Times New Roman"/>
                <w:sz w:val="18"/>
                <w:szCs w:val="18"/>
                <w:lang w:eastAsia="hu-HU"/>
              </w:rPr>
              <w:t>29314</w:t>
            </w:r>
            <w:r w:rsidR="00B9035F" w:rsidRPr="00B9035F">
              <w:rPr>
                <w:rFonts w:eastAsia="Times New Roman"/>
                <w:sz w:val="18"/>
                <w:szCs w:val="18"/>
                <w:lang w:eastAsia="hu-HU"/>
              </w:rPr>
              <w:t>069</w:t>
            </w:r>
          </w:p>
        </w:tc>
      </w:tr>
      <w:tr w:rsidR="005D54A9" w:rsidRPr="00F31610" w:rsidTr="00C74649">
        <w:tc>
          <w:tcPr>
            <w:tcW w:w="7310" w:type="dxa"/>
            <w:gridSpan w:val="4"/>
            <w:hideMark/>
          </w:tcPr>
          <w:p w:rsidR="005D54A9" w:rsidRPr="00F31610" w:rsidRDefault="005D54A9" w:rsidP="00C74649">
            <w:pPr>
              <w:spacing w:before="120" w:after="120"/>
              <w:jc w:val="left"/>
              <w:rPr>
                <w:rFonts w:eastAsia="Times New Roman"/>
                <w:lang w:eastAsia="hu-HU"/>
              </w:rPr>
            </w:pPr>
            <w:r w:rsidRPr="00F31610">
              <w:rPr>
                <w:rFonts w:eastAsia="Times New Roman"/>
                <w:sz w:val="18"/>
                <w:szCs w:val="18"/>
                <w:lang w:eastAsia="hu-HU"/>
              </w:rPr>
              <w:t>E-mail:</w:t>
            </w:r>
            <w:r>
              <w:rPr>
                <w:rFonts w:eastAsia="Times New Roman"/>
                <w:sz w:val="18"/>
                <w:szCs w:val="18"/>
                <w:lang w:eastAsia="hu-HU"/>
              </w:rPr>
              <w:t xml:space="preserve"> </w:t>
            </w:r>
            <w:r w:rsidR="00B9035F" w:rsidRPr="00B9035F">
              <w:rPr>
                <w:rFonts w:eastAsia="Times New Roman"/>
                <w:sz w:val="18"/>
                <w:szCs w:val="18"/>
                <w:lang w:eastAsia="hu-HU"/>
              </w:rPr>
              <w:t>jegyzo@peteri.hu</w:t>
            </w:r>
          </w:p>
        </w:tc>
        <w:tc>
          <w:tcPr>
            <w:tcW w:w="2551" w:type="dxa"/>
            <w:hideMark/>
          </w:tcPr>
          <w:p w:rsidR="005D54A9" w:rsidRPr="00F31610" w:rsidRDefault="005D54A9" w:rsidP="00C74649">
            <w:pPr>
              <w:spacing w:before="120" w:after="120"/>
              <w:jc w:val="left"/>
              <w:rPr>
                <w:rFonts w:eastAsia="Times New Roman"/>
                <w:lang w:eastAsia="hu-HU"/>
              </w:rPr>
            </w:pPr>
            <w:r w:rsidRPr="00F31610">
              <w:rPr>
                <w:rFonts w:eastAsia="Times New Roman"/>
                <w:sz w:val="18"/>
                <w:szCs w:val="18"/>
                <w:lang w:eastAsia="hu-HU"/>
              </w:rPr>
              <w:t>Fax:</w:t>
            </w:r>
            <w:r>
              <w:rPr>
                <w:rFonts w:eastAsia="Times New Roman"/>
                <w:sz w:val="18"/>
                <w:szCs w:val="18"/>
                <w:lang w:eastAsia="hu-HU"/>
              </w:rPr>
              <w:t xml:space="preserve"> +36 </w:t>
            </w:r>
            <w:r w:rsidR="00B9035F">
              <w:rPr>
                <w:rFonts w:eastAsia="Times New Roman"/>
                <w:sz w:val="18"/>
                <w:szCs w:val="18"/>
                <w:lang w:eastAsia="hu-HU"/>
              </w:rPr>
              <w:t>29314</w:t>
            </w:r>
            <w:r w:rsidR="00B9035F" w:rsidRPr="00B9035F">
              <w:rPr>
                <w:rFonts w:eastAsia="Times New Roman"/>
                <w:sz w:val="18"/>
                <w:szCs w:val="18"/>
                <w:lang w:eastAsia="hu-HU"/>
              </w:rPr>
              <w:t>070</w:t>
            </w:r>
          </w:p>
        </w:tc>
      </w:tr>
      <w:tr w:rsidR="00F31610" w:rsidRPr="00F31610" w:rsidTr="008C122D">
        <w:tc>
          <w:tcPr>
            <w:tcW w:w="9861" w:type="dxa"/>
            <w:gridSpan w:val="5"/>
            <w:hideMark/>
          </w:tcPr>
          <w:p w:rsidR="00F31610" w:rsidRPr="00F31610" w:rsidRDefault="00F31610" w:rsidP="0042537D">
            <w:pPr>
              <w:spacing w:before="120" w:after="120"/>
              <w:jc w:val="left"/>
              <w:rPr>
                <w:rFonts w:eastAsia="Times New Roman"/>
                <w:lang w:eastAsia="hu-HU"/>
              </w:rPr>
            </w:pPr>
            <w:proofErr w:type="gramStart"/>
            <w:r w:rsidRPr="00F31610">
              <w:rPr>
                <w:rFonts w:eastAsia="Times New Roman"/>
                <w:b/>
                <w:bCs/>
                <w:sz w:val="18"/>
                <w:szCs w:val="18"/>
                <w:lang w:eastAsia="hu-HU"/>
              </w:rPr>
              <w:t>Internetcím(</w:t>
            </w:r>
            <w:proofErr w:type="spellStart"/>
            <w:proofErr w:type="gramEnd"/>
            <w:r w:rsidRPr="00F31610">
              <w:rPr>
                <w:rFonts w:eastAsia="Times New Roman"/>
                <w:b/>
                <w:bCs/>
                <w:sz w:val="18"/>
                <w:szCs w:val="18"/>
                <w:lang w:eastAsia="hu-HU"/>
              </w:rPr>
              <w:t>ek</w:t>
            </w:r>
            <w:proofErr w:type="spellEnd"/>
            <w:r w:rsidRPr="00F31610">
              <w:rPr>
                <w:rFonts w:eastAsia="Times New Roman"/>
                <w:b/>
                <w:bCs/>
                <w:sz w:val="18"/>
                <w:szCs w:val="18"/>
                <w:lang w:eastAsia="hu-HU"/>
              </w:rPr>
              <w:t>)</w:t>
            </w:r>
          </w:p>
          <w:p w:rsidR="00864424" w:rsidRDefault="00F31610" w:rsidP="00864424">
            <w:pPr>
              <w:spacing w:before="120" w:after="120"/>
              <w:jc w:val="left"/>
              <w:rPr>
                <w:rFonts w:eastAsia="Times New Roman"/>
                <w:i/>
                <w:iCs/>
                <w:sz w:val="18"/>
                <w:szCs w:val="18"/>
                <w:lang w:eastAsia="hu-HU"/>
              </w:rPr>
            </w:pPr>
            <w:r w:rsidRPr="00F31610">
              <w:rPr>
                <w:rFonts w:eastAsia="Times New Roman"/>
                <w:sz w:val="18"/>
                <w:szCs w:val="18"/>
                <w:lang w:eastAsia="hu-HU"/>
              </w:rPr>
              <w:t xml:space="preserve">Az ajánlatkérő általános címe: </w:t>
            </w:r>
            <w:r w:rsidRPr="00F31610">
              <w:rPr>
                <w:rFonts w:eastAsia="Times New Roman"/>
                <w:i/>
                <w:iCs/>
                <w:sz w:val="18"/>
                <w:szCs w:val="18"/>
                <w:lang w:eastAsia="hu-HU"/>
              </w:rPr>
              <w:t>(URL)</w:t>
            </w:r>
            <w:r w:rsidR="00947CB5">
              <w:rPr>
                <w:rFonts w:eastAsia="Times New Roman"/>
                <w:i/>
                <w:iCs/>
                <w:sz w:val="18"/>
                <w:szCs w:val="18"/>
                <w:lang w:eastAsia="hu-HU"/>
              </w:rPr>
              <w:t xml:space="preserve"> </w:t>
            </w:r>
          </w:p>
          <w:p w:rsidR="00F31610" w:rsidRPr="00F31610" w:rsidRDefault="00F31610" w:rsidP="00864424">
            <w:pPr>
              <w:spacing w:before="120" w:after="120"/>
              <w:jc w:val="left"/>
              <w:rPr>
                <w:rFonts w:eastAsia="Times New Roman"/>
                <w:lang w:eastAsia="hu-HU"/>
              </w:rPr>
            </w:pPr>
            <w:r w:rsidRPr="00F31610">
              <w:rPr>
                <w:rFonts w:eastAsia="Times New Roman"/>
                <w:sz w:val="18"/>
                <w:szCs w:val="18"/>
                <w:lang w:eastAsia="hu-HU"/>
              </w:rPr>
              <w:t xml:space="preserve">A felhasználói oldal címe: </w:t>
            </w:r>
            <w:r w:rsidRPr="00F31610">
              <w:rPr>
                <w:rFonts w:eastAsia="Times New Roman"/>
                <w:i/>
                <w:iCs/>
                <w:sz w:val="18"/>
                <w:szCs w:val="18"/>
                <w:lang w:eastAsia="hu-HU"/>
              </w:rPr>
              <w:t>(URL)</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8C122D" w:rsidP="008C122D">
            <w:pPr>
              <w:spacing w:before="120" w:after="120"/>
              <w:ind w:left="65"/>
              <w:jc w:val="left"/>
              <w:rPr>
                <w:rFonts w:eastAsia="Times New Roman"/>
                <w:lang w:eastAsia="hu-HU"/>
              </w:rPr>
            </w:pPr>
            <w:r w:rsidRPr="00954D99">
              <w:rPr>
                <w:rFonts w:eastAsia="Times New Roman"/>
                <w:sz w:val="18"/>
                <w:szCs w:val="18"/>
                <w:lang w:eastAsia="hu-HU"/>
              </w:rPr>
              <w:t>Nem</w:t>
            </w:r>
            <w:r w:rsidRPr="00F31610">
              <w:rPr>
                <w:rFonts w:eastAsia="Times New Roman"/>
                <w:sz w:val="18"/>
                <w:szCs w:val="18"/>
                <w:lang w:eastAsia="hu-HU"/>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8C122D" w:rsidP="008C122D">
            <w:pPr>
              <w:spacing w:before="120" w:after="120"/>
              <w:ind w:left="65"/>
              <w:rPr>
                <w:rFonts w:eastAsia="Times New Roman"/>
                <w:lang w:eastAsia="hu-HU"/>
              </w:rPr>
            </w:pPr>
            <w:r w:rsidRPr="00CF5CEB">
              <w:rPr>
                <w:sz w:val="18"/>
              </w:rPr>
              <w:t>A közbeszerzési dokumentumokat a következő pontban meghatározott szervezet közvetlenül, elektronikus úton juttatja el az ajánlattevők részére, az ajánlattételi felhívás megküldésével egyidejűleg.</w:t>
            </w:r>
          </w:p>
        </w:tc>
      </w:tr>
      <w:tr w:rsidR="00F31610" w:rsidRPr="00F31610" w:rsidTr="00F31610">
        <w:tc>
          <w:tcPr>
            <w:tcW w:w="0" w:type="auto"/>
            <w:hideMark/>
          </w:tcPr>
          <w:p w:rsidR="008C122D" w:rsidRDefault="008C122D" w:rsidP="008C122D">
            <w:pPr>
              <w:spacing w:before="120" w:after="120"/>
              <w:ind w:left="65" w:right="61"/>
              <w:rPr>
                <w:rFonts w:eastAsia="Times New Roman"/>
                <w:sz w:val="18"/>
                <w:szCs w:val="18"/>
                <w:lang w:eastAsia="hu-HU"/>
              </w:rPr>
            </w:pPr>
            <w:r w:rsidRPr="00F31610">
              <w:rPr>
                <w:rFonts w:eastAsia="Times New Roman"/>
                <w:sz w:val="18"/>
                <w:szCs w:val="18"/>
                <w:lang w:eastAsia="hu-HU"/>
              </w:rPr>
              <w:t>További információ a következő címen szerezhető be</w:t>
            </w:r>
            <w:r>
              <w:rPr>
                <w:rFonts w:eastAsia="Times New Roman"/>
                <w:sz w:val="18"/>
                <w:szCs w:val="18"/>
                <w:lang w:eastAsia="hu-HU"/>
              </w:rPr>
              <w:t>:</w:t>
            </w:r>
          </w:p>
          <w:p w:rsidR="00F31610" w:rsidRPr="00F31610" w:rsidRDefault="00B9035F" w:rsidP="008C122D">
            <w:pPr>
              <w:spacing w:before="120" w:after="120"/>
              <w:ind w:left="65"/>
              <w:jc w:val="left"/>
              <w:rPr>
                <w:rFonts w:eastAsia="Times New Roman"/>
                <w:lang w:eastAsia="hu-HU"/>
              </w:rPr>
            </w:pPr>
            <w:r>
              <w:rPr>
                <w:rFonts w:eastAsia="Times New Roman"/>
                <w:iCs/>
                <w:sz w:val="18"/>
                <w:szCs w:val="18"/>
                <w:lang w:eastAsia="hu-HU"/>
              </w:rPr>
              <w:t>KT Tanácsadó Bt</w:t>
            </w:r>
            <w:r w:rsidRPr="00B32445">
              <w:rPr>
                <w:rFonts w:eastAsia="Times New Roman"/>
                <w:iCs/>
                <w:sz w:val="18"/>
                <w:szCs w:val="18"/>
                <w:lang w:eastAsia="hu-HU"/>
              </w:rPr>
              <w:t>.</w:t>
            </w:r>
            <w:r>
              <w:rPr>
                <w:rFonts w:eastAsia="Times New Roman"/>
                <w:iCs/>
                <w:sz w:val="18"/>
                <w:szCs w:val="18"/>
                <w:lang w:eastAsia="hu-HU"/>
              </w:rPr>
              <w:t xml:space="preserve"> (2700 Cegléd, Malom u. 18</w:t>
            </w:r>
            <w:proofErr w:type="gramStart"/>
            <w:r>
              <w:rPr>
                <w:rFonts w:eastAsia="Times New Roman"/>
                <w:iCs/>
                <w:sz w:val="18"/>
                <w:szCs w:val="18"/>
                <w:lang w:eastAsia="hu-HU"/>
              </w:rPr>
              <w:t>.,</w:t>
            </w:r>
            <w:proofErr w:type="gramEnd"/>
            <w:r>
              <w:rPr>
                <w:rFonts w:eastAsia="Times New Roman"/>
                <w:iCs/>
                <w:sz w:val="18"/>
                <w:szCs w:val="18"/>
                <w:lang w:eastAsia="hu-HU"/>
              </w:rPr>
              <w:t xml:space="preserve"> e-mail: </w:t>
            </w:r>
            <w:proofErr w:type="spellStart"/>
            <w:r>
              <w:rPr>
                <w:rFonts w:eastAsia="Times New Roman"/>
                <w:iCs/>
                <w:sz w:val="18"/>
                <w:szCs w:val="18"/>
                <w:lang w:eastAsia="hu-HU"/>
              </w:rPr>
              <w:t>ktbt.cegled</w:t>
            </w:r>
            <w:proofErr w:type="spellEnd"/>
            <w:r w:rsidRPr="008C122D">
              <w:rPr>
                <w:rFonts w:eastAsia="Times New Roman"/>
                <w:iCs/>
                <w:sz w:val="18"/>
                <w:szCs w:val="18"/>
                <w:lang w:eastAsia="hu-HU"/>
              </w:rPr>
              <w:t>@</w:t>
            </w:r>
            <w:r>
              <w:rPr>
                <w:rFonts w:eastAsia="Times New Roman"/>
                <w:iCs/>
                <w:sz w:val="18"/>
                <w:szCs w:val="18"/>
                <w:lang w:eastAsia="hu-HU"/>
              </w:rPr>
              <w:t>gmail.com, tel.: +36 53500726, fax: +36 53500727, címzett: Kovács Gábor ügyvezető)</w:t>
            </w:r>
          </w:p>
        </w:tc>
      </w:tr>
      <w:tr w:rsidR="00F31610" w:rsidRPr="00F31610" w:rsidTr="00F31610">
        <w:tc>
          <w:tcPr>
            <w:tcW w:w="0" w:type="auto"/>
            <w:hideMark/>
          </w:tcPr>
          <w:p w:rsidR="008C122D" w:rsidRDefault="008C122D" w:rsidP="008C122D">
            <w:pPr>
              <w:spacing w:before="120" w:after="120"/>
              <w:ind w:left="65" w:right="61"/>
              <w:rPr>
                <w:rFonts w:eastAsia="Times New Roman"/>
                <w:sz w:val="18"/>
                <w:szCs w:val="18"/>
                <w:lang w:eastAsia="hu-HU"/>
              </w:rPr>
            </w:pPr>
            <w:r w:rsidRPr="00F31610">
              <w:rPr>
                <w:rFonts w:eastAsia="Times New Roman"/>
                <w:sz w:val="18"/>
                <w:szCs w:val="18"/>
                <w:lang w:eastAsia="hu-HU"/>
              </w:rPr>
              <w:t>Az ajánlat benyújtandó</w:t>
            </w:r>
            <w:r>
              <w:rPr>
                <w:rFonts w:eastAsia="Times New Roman"/>
                <w:sz w:val="18"/>
                <w:szCs w:val="18"/>
                <w:lang w:eastAsia="hu-HU"/>
              </w:rPr>
              <w:t>:</w:t>
            </w:r>
          </w:p>
          <w:p w:rsidR="00F31610" w:rsidRPr="00F31610" w:rsidRDefault="00473BBC" w:rsidP="00473BBC">
            <w:pPr>
              <w:spacing w:before="120" w:after="120"/>
              <w:ind w:left="65"/>
              <w:jc w:val="left"/>
              <w:rPr>
                <w:rFonts w:eastAsia="Times New Roman"/>
                <w:lang w:eastAsia="hu-HU"/>
              </w:rPr>
            </w:pPr>
            <w:r w:rsidRPr="00473BBC">
              <w:rPr>
                <w:rFonts w:eastAsia="Times New Roman"/>
                <w:sz w:val="18"/>
                <w:szCs w:val="18"/>
                <w:lang w:eastAsia="hu-HU"/>
              </w:rPr>
              <w:t>Péteri Közös Önkormányzati Hivatal</w:t>
            </w:r>
            <w:r w:rsidR="005D54A9" w:rsidRPr="00685D30">
              <w:rPr>
                <w:rFonts w:eastAsia="Times New Roman"/>
                <w:sz w:val="18"/>
                <w:szCs w:val="18"/>
                <w:lang w:eastAsia="hu-HU"/>
              </w:rPr>
              <w:t>, (2</w:t>
            </w:r>
            <w:r>
              <w:rPr>
                <w:rFonts w:eastAsia="Times New Roman"/>
                <w:sz w:val="18"/>
                <w:szCs w:val="18"/>
                <w:lang w:eastAsia="hu-HU"/>
              </w:rPr>
              <w:t>209</w:t>
            </w:r>
            <w:r w:rsidR="005D54A9" w:rsidRPr="00685D30">
              <w:rPr>
                <w:rFonts w:eastAsia="Times New Roman"/>
                <w:sz w:val="18"/>
                <w:szCs w:val="18"/>
                <w:lang w:eastAsia="hu-HU"/>
              </w:rPr>
              <w:t xml:space="preserve"> </w:t>
            </w:r>
            <w:r>
              <w:rPr>
                <w:rFonts w:eastAsia="Times New Roman"/>
                <w:sz w:val="18"/>
                <w:szCs w:val="18"/>
                <w:lang w:eastAsia="hu-HU"/>
              </w:rPr>
              <w:t>Péteri</w:t>
            </w:r>
            <w:r w:rsidR="005D54A9" w:rsidRPr="00685D30">
              <w:rPr>
                <w:rFonts w:eastAsia="Times New Roman"/>
                <w:sz w:val="18"/>
                <w:szCs w:val="18"/>
                <w:lang w:eastAsia="hu-HU"/>
              </w:rPr>
              <w:t xml:space="preserve">, Kossuth Lajos utca </w:t>
            </w:r>
            <w:r>
              <w:rPr>
                <w:rFonts w:eastAsia="Times New Roman"/>
                <w:sz w:val="18"/>
                <w:szCs w:val="18"/>
                <w:lang w:eastAsia="hu-HU"/>
              </w:rPr>
              <w:t>2</w:t>
            </w:r>
            <w:r w:rsidR="005D54A9" w:rsidRPr="00685D30">
              <w:rPr>
                <w:rFonts w:eastAsia="Times New Roman"/>
                <w:sz w:val="18"/>
                <w:szCs w:val="18"/>
                <w:lang w:eastAsia="hu-HU"/>
              </w:rPr>
              <w:t>.)</w:t>
            </w:r>
          </w:p>
        </w:tc>
      </w:tr>
    </w:tbl>
    <w:p w:rsidR="005D54A9" w:rsidRPr="00F31610" w:rsidRDefault="005D54A9" w:rsidP="005D54A9">
      <w:pPr>
        <w:spacing w:before="120" w:after="120"/>
        <w:jc w:val="left"/>
        <w:rPr>
          <w:rFonts w:eastAsia="Times New Roman"/>
          <w:lang w:eastAsia="hu-HU"/>
        </w:rPr>
      </w:pPr>
      <w:r w:rsidRPr="00F31610">
        <w:rPr>
          <w:rFonts w:eastAsia="Times New Roman"/>
          <w:b/>
          <w:bCs/>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5D54A9" w:rsidRPr="00F31610" w:rsidTr="00C74649">
        <w:tc>
          <w:tcPr>
            <w:tcW w:w="5042" w:type="dxa"/>
            <w:hideMark/>
          </w:tcPr>
          <w:p w:rsidR="005D54A9" w:rsidRPr="00F31610" w:rsidRDefault="005D54A9" w:rsidP="00C74649">
            <w:pPr>
              <w:spacing w:before="120" w:after="120"/>
              <w:jc w:val="left"/>
              <w:rPr>
                <w:rFonts w:eastAsia="Times New Roman"/>
                <w:lang w:eastAsia="hu-HU"/>
              </w:rPr>
            </w:pPr>
            <w:r>
              <w:rPr>
                <w:rFonts w:eastAsia="Times New Roman"/>
                <w:sz w:val="18"/>
                <w:szCs w:val="18"/>
                <w:lang w:eastAsia="hu-HU"/>
              </w:rPr>
              <w:t xml:space="preserve"> </w:t>
            </w:r>
            <w:r w:rsidRPr="00F31610">
              <w:rPr>
                <w:rFonts w:eastAsia="Times New Roman"/>
                <w:sz w:val="18"/>
                <w:szCs w:val="18"/>
                <w:lang w:eastAsia="hu-HU"/>
              </w:rPr>
              <w:t>Regionális/helyi szintű</w:t>
            </w:r>
          </w:p>
        </w:tc>
        <w:tc>
          <w:tcPr>
            <w:tcW w:w="4753" w:type="dxa"/>
            <w:hideMark/>
          </w:tcPr>
          <w:p w:rsidR="005D54A9" w:rsidRPr="00F31610" w:rsidRDefault="005D54A9" w:rsidP="00C74649">
            <w:pPr>
              <w:spacing w:before="120" w:after="120"/>
              <w:jc w:val="left"/>
              <w:rPr>
                <w:rFonts w:eastAsia="Times New Roman"/>
                <w:lang w:eastAsia="hu-HU"/>
              </w:rPr>
            </w:pPr>
          </w:p>
        </w:tc>
      </w:tr>
    </w:tbl>
    <w:p w:rsidR="005D54A9" w:rsidRPr="00F31610" w:rsidRDefault="005D54A9" w:rsidP="005D54A9">
      <w:pPr>
        <w:spacing w:before="120" w:after="120"/>
        <w:jc w:val="left"/>
        <w:rPr>
          <w:rFonts w:eastAsia="Times New Roman"/>
          <w:lang w:eastAsia="hu-HU"/>
        </w:rPr>
      </w:pPr>
      <w:r w:rsidRPr="00F31610">
        <w:rPr>
          <w:rFonts w:eastAsia="Times New Roman"/>
          <w:b/>
          <w:bCs/>
          <w:lang w:eastAsia="hu-HU"/>
        </w:rPr>
        <w:t xml:space="preserve">I.5) Fő tevékenység </w:t>
      </w:r>
      <w:r w:rsidRPr="00F31610">
        <w:rPr>
          <w:rFonts w:eastAsia="Times New Roman"/>
          <w:i/>
          <w:iCs/>
          <w:sz w:val="18"/>
          <w:szCs w:val="18"/>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5D54A9" w:rsidRPr="00F31610" w:rsidTr="00C74649">
        <w:tc>
          <w:tcPr>
            <w:tcW w:w="5042" w:type="dxa"/>
            <w:hideMark/>
          </w:tcPr>
          <w:p w:rsidR="005D54A9" w:rsidRPr="00F31610" w:rsidRDefault="005D54A9" w:rsidP="00C74649">
            <w:pPr>
              <w:spacing w:before="120" w:after="120"/>
              <w:jc w:val="left"/>
              <w:rPr>
                <w:rFonts w:eastAsia="Times New Roman"/>
                <w:lang w:eastAsia="hu-HU"/>
              </w:rPr>
            </w:pPr>
            <w:r>
              <w:rPr>
                <w:rFonts w:ascii="Webdings" w:eastAsia="Times New Roman" w:hAnsi="Webdings"/>
                <w:sz w:val="18"/>
                <w:szCs w:val="18"/>
                <w:lang w:eastAsia="hu-HU"/>
              </w:rPr>
              <w:t></w:t>
            </w:r>
            <w:r w:rsidRPr="00F31610">
              <w:rPr>
                <w:rFonts w:eastAsia="Times New Roman"/>
                <w:sz w:val="18"/>
                <w:szCs w:val="18"/>
                <w:lang w:eastAsia="hu-HU"/>
              </w:rPr>
              <w:t>Általános közszolgáltatások</w:t>
            </w:r>
          </w:p>
        </w:tc>
        <w:tc>
          <w:tcPr>
            <w:tcW w:w="4753" w:type="dxa"/>
            <w:hideMark/>
          </w:tcPr>
          <w:p w:rsidR="005D54A9" w:rsidRPr="00F31610" w:rsidRDefault="005D54A9" w:rsidP="00C74649">
            <w:pPr>
              <w:spacing w:before="120" w:after="120"/>
              <w:jc w:val="left"/>
              <w:rPr>
                <w:rFonts w:eastAsia="Times New Roman"/>
                <w:lang w:eastAsia="hu-HU"/>
              </w:rPr>
            </w:pP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II. szakasz: Tárgy</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40"/>
        <w:gridCol w:w="4655"/>
      </w:tblGrid>
      <w:tr w:rsidR="00F31610" w:rsidRPr="00F31610" w:rsidTr="008C122D">
        <w:tc>
          <w:tcPr>
            <w:tcW w:w="5139" w:type="dxa"/>
            <w:hideMark/>
          </w:tcPr>
          <w:p w:rsidR="00F31610" w:rsidRPr="00947CB5" w:rsidRDefault="00F31610" w:rsidP="005D54A9">
            <w:pPr>
              <w:ind w:left="65" w:right="82"/>
              <w:rPr>
                <w:rFonts w:eastAsia="Times New Roman"/>
                <w:bCs/>
                <w:sz w:val="18"/>
                <w:szCs w:val="18"/>
                <w:lang w:eastAsia="hu-HU"/>
              </w:rPr>
            </w:pPr>
            <w:r w:rsidRPr="00F31610">
              <w:rPr>
                <w:rFonts w:eastAsia="Times New Roman"/>
                <w:b/>
                <w:bCs/>
                <w:sz w:val="18"/>
                <w:szCs w:val="18"/>
                <w:lang w:eastAsia="hu-HU"/>
              </w:rPr>
              <w:t>II.1.1) Elnevezés:</w:t>
            </w:r>
            <w:r w:rsidR="008C122D">
              <w:rPr>
                <w:rFonts w:eastAsia="Times New Roman"/>
                <w:b/>
                <w:bCs/>
                <w:sz w:val="18"/>
                <w:szCs w:val="18"/>
                <w:lang w:eastAsia="hu-HU"/>
              </w:rPr>
              <w:t xml:space="preserve"> </w:t>
            </w:r>
            <w:r w:rsidR="00473BBC" w:rsidRPr="00473BBC">
              <w:rPr>
                <w:rFonts w:eastAsia="Times New Roman"/>
                <w:bCs/>
                <w:sz w:val="18"/>
                <w:szCs w:val="18"/>
                <w:lang w:eastAsia="hu-HU"/>
              </w:rPr>
              <w:t>Orvosi rendelő felújítása</w:t>
            </w:r>
          </w:p>
        </w:tc>
        <w:tc>
          <w:tcPr>
            <w:tcW w:w="4656" w:type="dxa"/>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 xml:space="preserve">Hivatkozási szám: </w:t>
            </w:r>
            <w:r w:rsidRPr="00F31610">
              <w:rPr>
                <w:rFonts w:eastAsia="Times New Roman"/>
                <w:sz w:val="18"/>
                <w:szCs w:val="18"/>
                <w:vertAlign w:val="superscript"/>
                <w:lang w:eastAsia="hu-HU"/>
              </w:rPr>
              <w:t>2</w:t>
            </w:r>
          </w:p>
        </w:tc>
      </w:tr>
      <w:tr w:rsidR="009F164F" w:rsidRPr="00F31610" w:rsidTr="008C122D">
        <w:tc>
          <w:tcPr>
            <w:tcW w:w="9795" w:type="dxa"/>
            <w:gridSpan w:val="2"/>
          </w:tcPr>
          <w:p w:rsidR="009F164F" w:rsidRPr="00F31610" w:rsidRDefault="009F164F" w:rsidP="008C122D">
            <w:pPr>
              <w:spacing w:before="120" w:after="120"/>
              <w:jc w:val="left"/>
              <w:rPr>
                <w:rFonts w:eastAsia="Times New Roman"/>
                <w:b/>
                <w:bCs/>
                <w:sz w:val="18"/>
                <w:szCs w:val="18"/>
                <w:lang w:eastAsia="hu-HU"/>
              </w:rPr>
            </w:pPr>
            <w:r w:rsidRPr="00F31610">
              <w:rPr>
                <w:rFonts w:eastAsia="Times New Roman"/>
                <w:b/>
                <w:bCs/>
                <w:sz w:val="18"/>
                <w:szCs w:val="18"/>
                <w:lang w:eastAsia="hu-HU"/>
              </w:rPr>
              <w:t xml:space="preserve">II.1.2) Fő </w:t>
            </w:r>
            <w:proofErr w:type="spell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r w:rsidRPr="00F31610">
              <w:rPr>
                <w:rFonts w:eastAsia="Times New Roman"/>
                <w:sz w:val="18"/>
                <w:szCs w:val="18"/>
                <w:lang w:eastAsia="hu-HU"/>
              </w:rPr>
              <w:t xml:space="preserve"> </w:t>
            </w:r>
            <w:r w:rsidR="00473BBC" w:rsidRPr="00473BBC">
              <w:rPr>
                <w:rFonts w:eastAsia="Times New Roman"/>
                <w:sz w:val="18"/>
                <w:szCs w:val="18"/>
                <w:lang w:eastAsia="hu-HU"/>
              </w:rPr>
              <w:t>45262690-4</w:t>
            </w:r>
          </w:p>
        </w:tc>
      </w:tr>
      <w:tr w:rsidR="00F31610" w:rsidRPr="00F31610" w:rsidTr="008C122D">
        <w:tc>
          <w:tcPr>
            <w:tcW w:w="9795" w:type="dxa"/>
            <w:gridSpan w:val="2"/>
            <w:hideMark/>
          </w:tcPr>
          <w:p w:rsidR="00F31610" w:rsidRPr="00F31610" w:rsidRDefault="00F31610" w:rsidP="008C122D">
            <w:pPr>
              <w:spacing w:before="120" w:after="120"/>
              <w:jc w:val="left"/>
              <w:rPr>
                <w:rFonts w:eastAsia="Times New Roman"/>
                <w:lang w:eastAsia="hu-HU"/>
              </w:rPr>
            </w:pPr>
            <w:r w:rsidRPr="00F31610">
              <w:rPr>
                <w:rFonts w:eastAsia="Times New Roman"/>
                <w:b/>
                <w:bCs/>
                <w:sz w:val="18"/>
                <w:szCs w:val="18"/>
                <w:lang w:eastAsia="hu-HU"/>
              </w:rPr>
              <w:t xml:space="preserve">II.1.3)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típusa</w:t>
            </w:r>
            <w:r w:rsidR="008C122D">
              <w:rPr>
                <w:rFonts w:eastAsia="Times New Roman"/>
                <w:b/>
                <w:bCs/>
                <w:sz w:val="18"/>
                <w:szCs w:val="18"/>
                <w:lang w:eastAsia="hu-HU"/>
              </w:rPr>
              <w:t>:</w:t>
            </w:r>
            <w:r w:rsidRPr="00F31610">
              <w:rPr>
                <w:rFonts w:eastAsia="Times New Roman"/>
                <w:sz w:val="18"/>
                <w:szCs w:val="18"/>
                <w:lang w:eastAsia="hu-HU"/>
              </w:rPr>
              <w:t xml:space="preserve"> Építési beruházás </w:t>
            </w:r>
          </w:p>
        </w:tc>
      </w:tr>
      <w:tr w:rsidR="00F31610" w:rsidRPr="00F31610" w:rsidTr="008C122D">
        <w:tc>
          <w:tcPr>
            <w:tcW w:w="9795" w:type="dxa"/>
            <w:gridSpan w:val="2"/>
            <w:hideMark/>
          </w:tcPr>
          <w:p w:rsidR="00F31610" w:rsidRPr="00F31610" w:rsidRDefault="00F31610" w:rsidP="008C122D">
            <w:pPr>
              <w:spacing w:before="120" w:after="120"/>
              <w:jc w:val="left"/>
              <w:rPr>
                <w:rFonts w:eastAsia="Times New Roman"/>
                <w:lang w:eastAsia="hu-HU"/>
              </w:rPr>
            </w:pPr>
            <w:r w:rsidRPr="00F31610">
              <w:rPr>
                <w:rFonts w:eastAsia="Times New Roman"/>
                <w:b/>
                <w:bCs/>
                <w:sz w:val="18"/>
                <w:szCs w:val="18"/>
                <w:lang w:eastAsia="hu-HU"/>
              </w:rPr>
              <w:t xml:space="preserve">II.1.4)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közbeszerzés rövid ismertetése:</w:t>
            </w:r>
            <w:r w:rsidR="008C122D">
              <w:rPr>
                <w:rFonts w:eastAsia="Times New Roman"/>
                <w:b/>
                <w:bCs/>
                <w:sz w:val="18"/>
                <w:szCs w:val="18"/>
                <w:lang w:eastAsia="hu-HU"/>
              </w:rPr>
              <w:t xml:space="preserve"> </w:t>
            </w:r>
            <w:r w:rsidR="00473BBC" w:rsidRPr="00473BBC">
              <w:rPr>
                <w:rFonts w:eastAsia="Times New Roman"/>
                <w:bCs/>
                <w:sz w:val="18"/>
                <w:szCs w:val="18"/>
                <w:lang w:eastAsia="hu-HU"/>
              </w:rPr>
              <w:t>Orvosi rendelő felújítása</w:t>
            </w:r>
            <w:r w:rsidR="00473BBC">
              <w:rPr>
                <w:rFonts w:eastAsia="Times New Roman"/>
                <w:sz w:val="18"/>
                <w:lang w:eastAsia="hu-HU"/>
              </w:rPr>
              <w:t xml:space="preserve"> </w:t>
            </w:r>
            <w:r w:rsidR="008C122D">
              <w:rPr>
                <w:rFonts w:eastAsia="Times New Roman"/>
                <w:sz w:val="18"/>
                <w:lang w:eastAsia="hu-HU"/>
              </w:rPr>
              <w:t>vállalkozási szerződés keretében</w:t>
            </w:r>
          </w:p>
        </w:tc>
      </w:tr>
      <w:tr w:rsidR="008C122D" w:rsidRPr="00F31610" w:rsidTr="008C122D">
        <w:tc>
          <w:tcPr>
            <w:tcW w:w="0" w:type="auto"/>
            <w:gridSpan w:val="2"/>
            <w:hideMark/>
          </w:tcPr>
          <w:p w:rsidR="008C122D" w:rsidRPr="00F31610" w:rsidRDefault="008C122D" w:rsidP="00BA58A5">
            <w:pPr>
              <w:spacing w:before="120" w:after="120"/>
              <w:jc w:val="left"/>
              <w:rPr>
                <w:rFonts w:eastAsia="Times New Roman"/>
                <w:lang w:eastAsia="hu-HU"/>
              </w:rPr>
            </w:pPr>
            <w:r w:rsidRPr="00F31610">
              <w:rPr>
                <w:rFonts w:eastAsia="Times New Roman"/>
                <w:b/>
                <w:bCs/>
                <w:sz w:val="18"/>
                <w:szCs w:val="18"/>
                <w:lang w:eastAsia="hu-HU"/>
              </w:rPr>
              <w:t>II.1.6) Részekre bontás</w:t>
            </w:r>
          </w:p>
          <w:p w:rsidR="009F164F" w:rsidRPr="00F31610" w:rsidRDefault="009F164F" w:rsidP="009F164F">
            <w:pPr>
              <w:spacing w:before="120" w:after="120"/>
              <w:ind w:left="65"/>
              <w:jc w:val="left"/>
              <w:rPr>
                <w:rFonts w:eastAsia="Times New Roman"/>
                <w:lang w:eastAsia="hu-HU"/>
              </w:rPr>
            </w:pPr>
            <w:r w:rsidRPr="00F31610">
              <w:rPr>
                <w:rFonts w:eastAsia="Times New Roman"/>
                <w:sz w:val="18"/>
                <w:szCs w:val="18"/>
                <w:lang w:eastAsia="hu-HU"/>
              </w:rPr>
              <w:lastRenderedPageBreak/>
              <w:t>Részajánlat tételének lehetősége nem biztosított.</w:t>
            </w:r>
          </w:p>
          <w:p w:rsidR="008C122D" w:rsidRPr="00F31610" w:rsidRDefault="009F164F" w:rsidP="00B605A5">
            <w:pPr>
              <w:spacing w:before="120" w:after="120"/>
              <w:ind w:left="65" w:right="61"/>
              <w:rPr>
                <w:rFonts w:eastAsia="Times New Roman"/>
                <w:lang w:eastAsia="hu-HU"/>
              </w:rPr>
            </w:pPr>
            <w:r w:rsidRPr="00F31610">
              <w:rPr>
                <w:rFonts w:eastAsia="Times New Roman"/>
                <w:sz w:val="18"/>
                <w:szCs w:val="18"/>
                <w:lang w:eastAsia="hu-HU"/>
              </w:rPr>
              <w:t xml:space="preserve">A részajánlat tételének kizárásának </w:t>
            </w:r>
            <w:proofErr w:type="gramStart"/>
            <w:r w:rsidRPr="00F31610">
              <w:rPr>
                <w:rFonts w:eastAsia="Times New Roman"/>
                <w:sz w:val="18"/>
                <w:szCs w:val="18"/>
                <w:lang w:eastAsia="hu-HU"/>
              </w:rPr>
              <w:t>indoka(</w:t>
            </w:r>
            <w:proofErr w:type="gramEnd"/>
            <w:r w:rsidRPr="00F31610">
              <w:rPr>
                <w:rFonts w:eastAsia="Times New Roman"/>
                <w:sz w:val="18"/>
                <w:szCs w:val="18"/>
                <w:lang w:eastAsia="hu-HU"/>
              </w:rPr>
              <w:t>i):</w:t>
            </w:r>
            <w:r w:rsidRPr="00A274DB">
              <w:rPr>
                <w:rFonts w:eastAsia="Times New Roman"/>
                <w:sz w:val="18"/>
                <w:lang w:eastAsia="hu-HU"/>
              </w:rPr>
              <w:t xml:space="preserve"> </w:t>
            </w:r>
            <w:r w:rsidR="00473BBC">
              <w:rPr>
                <w:rFonts w:eastAsia="Times New Roman"/>
                <w:sz w:val="18"/>
                <w:lang w:eastAsia="hu-HU"/>
              </w:rPr>
              <w:t>A beruházás egyetlen épületen megvalósuló, egymással szoros műszaki és időrendbeli kapcsolatban lévő munkákat tartalmaz. Az egymással összefüggő, egymásra épülő és külön csak jelentős költségtöbblettel elvégezhető munkanemeket tartalmazó munka részekre bontása műszakilag nem oldható meg</w:t>
            </w:r>
            <w:r w:rsidR="00B605A5">
              <w:rPr>
                <w:rFonts w:eastAsia="Times New Roman"/>
                <w:sz w:val="18"/>
                <w:lang w:eastAsia="hu-HU"/>
              </w:rPr>
              <w:t xml:space="preserve">. </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lastRenderedPageBreak/>
        <w:t>I</w:t>
      </w:r>
      <w:r w:rsidR="008C122D">
        <w:rPr>
          <w:rFonts w:eastAsia="Times New Roman"/>
          <w:b/>
          <w:bCs/>
          <w:lang w:eastAsia="hu-HU"/>
        </w:rPr>
        <w:t xml:space="preserve">I.2) </w:t>
      </w:r>
      <w:proofErr w:type="gramStart"/>
      <w:r w:rsidR="008C122D">
        <w:rPr>
          <w:rFonts w:eastAsia="Times New Roman"/>
          <w:b/>
          <w:bCs/>
          <w:lang w:eastAsia="hu-HU"/>
        </w:rPr>
        <w:t>A</w:t>
      </w:r>
      <w:proofErr w:type="gramEnd"/>
      <w:r w:rsidR="008C122D">
        <w:rPr>
          <w:rFonts w:eastAsia="Times New Roman"/>
          <w:b/>
          <w:bCs/>
          <w:lang w:eastAsia="hu-HU"/>
        </w:rPr>
        <w:t xml:space="preserve"> közbeszerzés ismertetése</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50"/>
        <w:gridCol w:w="2745"/>
      </w:tblGrid>
      <w:tr w:rsidR="00F31610" w:rsidRPr="00F31610" w:rsidTr="00D13138">
        <w:tc>
          <w:tcPr>
            <w:tcW w:w="7088" w:type="dxa"/>
            <w:hideMark/>
          </w:tcPr>
          <w:p w:rsidR="00F31610" w:rsidRPr="00F31610" w:rsidRDefault="008C122D" w:rsidP="005766EA">
            <w:pPr>
              <w:spacing w:before="120" w:after="120"/>
              <w:jc w:val="left"/>
              <w:rPr>
                <w:rFonts w:eastAsia="Times New Roman"/>
                <w:lang w:eastAsia="hu-HU"/>
              </w:rPr>
            </w:pPr>
            <w:r>
              <w:rPr>
                <w:rFonts w:eastAsia="Times New Roman"/>
                <w:b/>
                <w:bCs/>
                <w:sz w:val="18"/>
                <w:szCs w:val="18"/>
                <w:lang w:eastAsia="hu-HU"/>
              </w:rPr>
              <w:t xml:space="preserve">II.2.1) Elnevezés: </w:t>
            </w:r>
            <w:r w:rsidR="00473BBC" w:rsidRPr="00473BBC">
              <w:rPr>
                <w:rFonts w:eastAsia="Times New Roman"/>
                <w:bCs/>
                <w:sz w:val="18"/>
                <w:szCs w:val="18"/>
                <w:lang w:eastAsia="hu-HU"/>
              </w:rPr>
              <w:t>Orvosi rendelő felújítása</w:t>
            </w:r>
          </w:p>
        </w:tc>
        <w:tc>
          <w:tcPr>
            <w:tcW w:w="2707" w:type="dxa"/>
            <w:hideMark/>
          </w:tcPr>
          <w:p w:rsidR="00F31610" w:rsidRPr="00F31610" w:rsidRDefault="008C122D" w:rsidP="00B605A5">
            <w:pPr>
              <w:spacing w:before="120" w:after="120"/>
              <w:jc w:val="left"/>
              <w:rPr>
                <w:rFonts w:eastAsia="Times New Roman"/>
                <w:lang w:eastAsia="hu-HU"/>
              </w:rPr>
            </w:pPr>
            <w:r>
              <w:rPr>
                <w:rFonts w:eastAsia="Times New Roman"/>
                <w:sz w:val="18"/>
                <w:szCs w:val="18"/>
                <w:lang w:eastAsia="hu-HU"/>
              </w:rPr>
              <w:t xml:space="preserve">Rész száma: </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II.2.2) További </w:t>
            </w:r>
            <w:proofErr w:type="spellStart"/>
            <w:proofErr w:type="gramStart"/>
            <w:r w:rsidRPr="00F31610">
              <w:rPr>
                <w:rFonts w:eastAsia="Times New Roman"/>
                <w:b/>
                <w:bCs/>
                <w:sz w:val="18"/>
                <w:szCs w:val="18"/>
                <w:lang w:eastAsia="hu-HU"/>
              </w:rPr>
              <w:t>CPV-kód</w:t>
            </w:r>
            <w:proofErr w:type="spellEnd"/>
            <w:r w:rsidRPr="00F31610">
              <w:rPr>
                <w:rFonts w:eastAsia="Times New Roman"/>
                <w:b/>
                <w:bCs/>
                <w:sz w:val="18"/>
                <w:szCs w:val="18"/>
                <w:lang w:eastAsia="hu-HU"/>
              </w:rPr>
              <w:t>(</w:t>
            </w:r>
            <w:proofErr w:type="gramEnd"/>
            <w:r w:rsidRPr="00F31610">
              <w:rPr>
                <w:rFonts w:eastAsia="Times New Roman"/>
                <w:b/>
                <w:bCs/>
                <w:sz w:val="18"/>
                <w:szCs w:val="18"/>
                <w:lang w:eastAsia="hu-HU"/>
              </w:rPr>
              <w:t>ok):</w:t>
            </w:r>
          </w:p>
          <w:p w:rsidR="008C122D" w:rsidRPr="0090420C" w:rsidRDefault="008C122D" w:rsidP="00B605A5">
            <w:pPr>
              <w:spacing w:before="120" w:after="120"/>
              <w:jc w:val="left"/>
              <w:rPr>
                <w:rFonts w:eastAsia="Times New Roman"/>
                <w:sz w:val="18"/>
                <w:szCs w:val="18"/>
                <w:lang w:eastAsia="hu-HU"/>
              </w:rPr>
            </w:pPr>
            <w:r>
              <w:rPr>
                <w:rFonts w:eastAsia="Times New Roman"/>
                <w:sz w:val="18"/>
                <w:szCs w:val="18"/>
                <w:lang w:eastAsia="hu-HU"/>
              </w:rPr>
              <w:t xml:space="preserve">Fő </w:t>
            </w:r>
            <w:proofErr w:type="spellStart"/>
            <w:r>
              <w:rPr>
                <w:rFonts w:eastAsia="Times New Roman"/>
                <w:sz w:val="18"/>
                <w:szCs w:val="18"/>
                <w:lang w:eastAsia="hu-HU"/>
              </w:rPr>
              <w:t>CPV-kód</w:t>
            </w:r>
            <w:proofErr w:type="spellEnd"/>
            <w:r>
              <w:rPr>
                <w:rFonts w:eastAsia="Times New Roman"/>
                <w:sz w:val="18"/>
                <w:szCs w:val="18"/>
                <w:lang w:eastAsia="hu-HU"/>
              </w:rPr>
              <w:t xml:space="preserve">: </w:t>
            </w:r>
            <w:r w:rsidR="00473BBC" w:rsidRPr="00473BBC">
              <w:rPr>
                <w:rFonts w:eastAsia="Times New Roman"/>
                <w:sz w:val="18"/>
                <w:szCs w:val="18"/>
                <w:lang w:eastAsia="hu-HU"/>
              </w:rPr>
              <w:t>45300000-0</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II.2.3)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teljesítés helye:</w:t>
            </w:r>
          </w:p>
          <w:p w:rsidR="00F31610" w:rsidRPr="00473BBC" w:rsidRDefault="00B561EF" w:rsidP="00473BBC">
            <w:pPr>
              <w:spacing w:before="120" w:after="120"/>
              <w:jc w:val="left"/>
              <w:rPr>
                <w:rFonts w:eastAsia="Times New Roman"/>
                <w:sz w:val="18"/>
                <w:szCs w:val="18"/>
                <w:lang w:eastAsia="hu-HU"/>
              </w:rPr>
            </w:pPr>
            <w:proofErr w:type="spellStart"/>
            <w:r>
              <w:rPr>
                <w:rFonts w:eastAsia="Times New Roman"/>
                <w:sz w:val="18"/>
                <w:szCs w:val="18"/>
                <w:lang w:eastAsia="hu-HU"/>
              </w:rPr>
              <w:t>NUTS-kód</w:t>
            </w:r>
            <w:proofErr w:type="spellEnd"/>
            <w:r>
              <w:rPr>
                <w:rFonts w:eastAsia="Times New Roman"/>
                <w:sz w:val="18"/>
                <w:szCs w:val="18"/>
                <w:lang w:eastAsia="hu-HU"/>
              </w:rPr>
              <w:t>:</w:t>
            </w:r>
            <w:r w:rsidR="00F31610" w:rsidRPr="00F31610">
              <w:rPr>
                <w:rFonts w:eastAsia="Times New Roman"/>
                <w:sz w:val="18"/>
                <w:szCs w:val="18"/>
                <w:lang w:eastAsia="hu-HU"/>
              </w:rPr>
              <w:t xml:space="preserve"> </w:t>
            </w:r>
            <w:r>
              <w:rPr>
                <w:rFonts w:eastAsia="Times New Roman"/>
                <w:sz w:val="18"/>
                <w:szCs w:val="18"/>
                <w:lang w:eastAsia="hu-HU"/>
              </w:rPr>
              <w:t>HU102</w:t>
            </w:r>
            <w:r w:rsidR="00F31610" w:rsidRPr="00F31610">
              <w:rPr>
                <w:rFonts w:eastAsia="Times New Roman"/>
                <w:sz w:val="18"/>
                <w:szCs w:val="18"/>
                <w:lang w:eastAsia="hu-HU"/>
              </w:rPr>
              <w:t xml:space="preserve"> </w:t>
            </w:r>
            <w:proofErr w:type="gramStart"/>
            <w:r w:rsidR="00F31610" w:rsidRPr="00F31610">
              <w:rPr>
                <w:rFonts w:eastAsia="Times New Roman"/>
                <w:sz w:val="18"/>
                <w:szCs w:val="18"/>
                <w:lang w:eastAsia="hu-HU"/>
              </w:rPr>
              <w:t>A</w:t>
            </w:r>
            <w:proofErr w:type="gramEnd"/>
            <w:r w:rsidR="00F31610" w:rsidRPr="00F31610">
              <w:rPr>
                <w:rFonts w:eastAsia="Times New Roman"/>
                <w:sz w:val="18"/>
                <w:szCs w:val="18"/>
                <w:lang w:eastAsia="hu-HU"/>
              </w:rPr>
              <w:t xml:space="preserve"> teljesítés helye:</w:t>
            </w:r>
            <w:r>
              <w:rPr>
                <w:rFonts w:eastAsia="Times New Roman"/>
                <w:sz w:val="18"/>
                <w:szCs w:val="18"/>
                <w:lang w:eastAsia="hu-HU"/>
              </w:rPr>
              <w:t xml:space="preserve"> </w:t>
            </w:r>
            <w:r w:rsidR="00473BBC">
              <w:rPr>
                <w:rFonts w:eastAsia="Times New Roman"/>
                <w:sz w:val="18"/>
                <w:szCs w:val="18"/>
                <w:lang w:eastAsia="hu-HU"/>
              </w:rPr>
              <w:t xml:space="preserve">Péteri, </w:t>
            </w:r>
            <w:r w:rsidR="00473BBC" w:rsidRPr="00473BBC">
              <w:rPr>
                <w:rFonts w:eastAsia="Times New Roman"/>
                <w:sz w:val="18"/>
                <w:szCs w:val="18"/>
                <w:lang w:eastAsia="hu-HU"/>
              </w:rPr>
              <w:t>Petőfi Sándor utca 80.</w:t>
            </w:r>
            <w:r w:rsidR="00473BBC">
              <w:rPr>
                <w:rFonts w:eastAsia="Times New Roman"/>
                <w:sz w:val="18"/>
                <w:szCs w:val="18"/>
                <w:lang w:eastAsia="hu-HU"/>
              </w:rPr>
              <w:t>, hrsz.: 219/2</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II.2.4)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közbeszerzés mennyisége:</w:t>
            </w:r>
            <w:r w:rsidRPr="00F31610">
              <w:rPr>
                <w:rFonts w:eastAsia="Times New Roman"/>
                <w:sz w:val="18"/>
                <w:szCs w:val="18"/>
                <w:lang w:eastAsia="hu-HU"/>
              </w:rPr>
              <w:t xml:space="preserve"> </w:t>
            </w:r>
          </w:p>
          <w:p w:rsidR="00F31610" w:rsidRPr="00B561EF" w:rsidRDefault="00473BBC" w:rsidP="00473BBC">
            <w:pPr>
              <w:spacing w:before="120" w:after="120"/>
              <w:ind w:left="65" w:right="61"/>
              <w:rPr>
                <w:rFonts w:eastAsia="Times New Roman"/>
                <w:lang w:eastAsia="hu-HU"/>
              </w:rPr>
            </w:pPr>
            <w:r>
              <w:rPr>
                <w:rFonts w:eastAsia="Times New Roman"/>
                <w:iCs/>
                <w:sz w:val="18"/>
                <w:szCs w:val="18"/>
                <w:lang w:eastAsia="hu-HU"/>
              </w:rPr>
              <w:t xml:space="preserve">Összességében 164,47 m2 hasznos alapterületű orvosi rendelő épület teljes </w:t>
            </w:r>
            <w:r w:rsidR="00A75C1D" w:rsidRPr="00A75C1D">
              <w:rPr>
                <w:rFonts w:eastAsia="Times New Roman"/>
                <w:iCs/>
                <w:sz w:val="18"/>
                <w:szCs w:val="18"/>
                <w:lang w:eastAsia="hu-HU"/>
              </w:rPr>
              <w:t>tetőszerkezetének cseréje</w:t>
            </w:r>
            <w:r>
              <w:rPr>
                <w:rFonts w:eastAsia="Times New Roman"/>
                <w:iCs/>
                <w:sz w:val="18"/>
                <w:szCs w:val="18"/>
                <w:lang w:eastAsia="hu-HU"/>
              </w:rPr>
              <w:t xml:space="preserve"> és belső felújítása, épületgépészeti felújítása és épületvillamossági felújítása.</w:t>
            </w:r>
            <w:r w:rsidR="00457B4A">
              <w:rPr>
                <w:rFonts w:eastAsia="Times New Roman"/>
                <w:iCs/>
                <w:sz w:val="18"/>
                <w:szCs w:val="18"/>
                <w:lang w:eastAsia="hu-HU"/>
              </w:rPr>
              <w:t xml:space="preserve"> </w:t>
            </w:r>
            <w:bookmarkStart w:id="0" w:name="_GoBack"/>
            <w:bookmarkEnd w:id="0"/>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II.2.5) Értékelési szempontok</w:t>
            </w:r>
          </w:p>
          <w:p w:rsidR="00F31610" w:rsidRPr="00F31610" w:rsidRDefault="00F31610" w:rsidP="00457B4A">
            <w:pPr>
              <w:spacing w:before="120" w:after="120"/>
              <w:ind w:left="65"/>
              <w:jc w:val="left"/>
              <w:rPr>
                <w:rFonts w:eastAsia="Times New Roman"/>
                <w:lang w:eastAsia="hu-HU"/>
              </w:rPr>
            </w:pPr>
            <w:r w:rsidRPr="00F31610">
              <w:rPr>
                <w:rFonts w:eastAsia="Times New Roman"/>
                <w:sz w:val="18"/>
                <w:szCs w:val="18"/>
                <w:lang w:eastAsia="hu-HU"/>
              </w:rPr>
              <w:t>Az alábbi értékelési szempontok</w:t>
            </w:r>
          </w:p>
          <w:p w:rsidR="00F31610" w:rsidRDefault="00F31610" w:rsidP="0042537D">
            <w:pPr>
              <w:spacing w:before="120" w:after="120"/>
              <w:ind w:left="180"/>
              <w:jc w:val="left"/>
              <w:rPr>
                <w:rFonts w:eastAsia="Times New Roman"/>
                <w:sz w:val="18"/>
                <w:szCs w:val="18"/>
                <w:lang w:eastAsia="hu-HU"/>
              </w:rPr>
            </w:pPr>
            <w:r w:rsidRPr="00F31610">
              <w:rPr>
                <w:rFonts w:eastAsia="Times New Roman"/>
                <w:sz w:val="18"/>
                <w:szCs w:val="18"/>
                <w:lang w:eastAsia="hu-HU"/>
              </w:rPr>
              <w:t>Minőségi sze</w:t>
            </w:r>
            <w:r w:rsidR="00457B4A">
              <w:rPr>
                <w:rFonts w:eastAsia="Times New Roman"/>
                <w:sz w:val="18"/>
                <w:szCs w:val="18"/>
                <w:lang w:eastAsia="hu-HU"/>
              </w:rPr>
              <w:t>mpont – Megnevezés:</w:t>
            </w:r>
          </w:p>
          <w:p w:rsidR="00457B4A" w:rsidRPr="00457B4A" w:rsidRDefault="008817BB" w:rsidP="00DC3C9A">
            <w:pPr>
              <w:pStyle w:val="Listaszerbekezds"/>
              <w:numPr>
                <w:ilvl w:val="0"/>
                <w:numId w:val="1"/>
              </w:numPr>
              <w:spacing w:before="120" w:after="120"/>
              <w:ind w:left="538" w:hanging="357"/>
              <w:contextualSpacing w:val="0"/>
              <w:jc w:val="left"/>
              <w:rPr>
                <w:rFonts w:eastAsia="Times New Roman"/>
                <w:sz w:val="18"/>
                <w:szCs w:val="18"/>
                <w:lang w:eastAsia="hu-HU"/>
              </w:rPr>
            </w:pPr>
            <w:r>
              <w:rPr>
                <w:rFonts w:eastAsia="Times New Roman"/>
                <w:sz w:val="18"/>
                <w:szCs w:val="18"/>
                <w:lang w:eastAsia="hu-HU"/>
              </w:rPr>
              <w:t>Jótállás vállalt időtartama (</w:t>
            </w:r>
            <w:r w:rsidR="00457B4A" w:rsidRPr="00457B4A">
              <w:rPr>
                <w:rFonts w:eastAsia="Times New Roman"/>
                <w:sz w:val="18"/>
                <w:szCs w:val="18"/>
                <w:lang w:eastAsia="hu-HU"/>
              </w:rPr>
              <w:t xml:space="preserve">minimálisan 36 hónapot kötelező vállalni, a 60 hónapon felül vállalt időtartam esetén 60 hónappal kerül értékelésre) / Súlyszám: </w:t>
            </w:r>
            <w:r w:rsidR="00C858D6">
              <w:rPr>
                <w:rFonts w:eastAsia="Times New Roman"/>
                <w:sz w:val="18"/>
                <w:szCs w:val="18"/>
                <w:lang w:eastAsia="hu-HU"/>
              </w:rPr>
              <w:t>2</w:t>
            </w:r>
            <w:r w:rsidR="00457B4A" w:rsidRPr="00457B4A">
              <w:rPr>
                <w:rFonts w:eastAsia="Times New Roman"/>
                <w:sz w:val="18"/>
                <w:szCs w:val="18"/>
                <w:lang w:eastAsia="hu-HU"/>
              </w:rPr>
              <w:t>0</w:t>
            </w:r>
          </w:p>
          <w:p w:rsidR="00457B4A" w:rsidRPr="00457B4A" w:rsidRDefault="00473BBC" w:rsidP="00DC3C9A">
            <w:pPr>
              <w:pStyle w:val="Listaszerbekezds"/>
              <w:numPr>
                <w:ilvl w:val="0"/>
                <w:numId w:val="1"/>
              </w:numPr>
              <w:spacing w:before="120" w:after="120"/>
              <w:ind w:left="538" w:hanging="357"/>
              <w:contextualSpacing w:val="0"/>
              <w:jc w:val="left"/>
              <w:rPr>
                <w:rFonts w:eastAsia="Times New Roman"/>
                <w:sz w:val="18"/>
                <w:szCs w:val="18"/>
                <w:lang w:eastAsia="hu-HU"/>
              </w:rPr>
            </w:pPr>
            <w:r>
              <w:rPr>
                <w:rFonts w:eastAsia="Times New Roman"/>
                <w:sz w:val="18"/>
                <w:szCs w:val="18"/>
                <w:lang w:eastAsia="hu-HU"/>
              </w:rPr>
              <w:t xml:space="preserve">Késedelmi kötbér mértéke (20.000 Ft/nap kötbért minimálisan kötelező vállalni, </w:t>
            </w:r>
            <w:r w:rsidRPr="00457B4A">
              <w:rPr>
                <w:rFonts w:eastAsia="Times New Roman"/>
                <w:sz w:val="18"/>
                <w:szCs w:val="18"/>
                <w:lang w:eastAsia="hu-HU"/>
              </w:rPr>
              <w:t xml:space="preserve">a </w:t>
            </w:r>
            <w:r>
              <w:rPr>
                <w:rFonts w:eastAsia="Times New Roman"/>
                <w:sz w:val="18"/>
                <w:szCs w:val="18"/>
                <w:lang w:eastAsia="hu-HU"/>
              </w:rPr>
              <w:t>100.000 Ft/napon</w:t>
            </w:r>
            <w:r w:rsidRPr="00457B4A">
              <w:rPr>
                <w:rFonts w:eastAsia="Times New Roman"/>
                <w:sz w:val="18"/>
                <w:szCs w:val="18"/>
                <w:lang w:eastAsia="hu-HU"/>
              </w:rPr>
              <w:t xml:space="preserve"> felül vállalt </w:t>
            </w:r>
            <w:r>
              <w:rPr>
                <w:rFonts w:eastAsia="Times New Roman"/>
                <w:sz w:val="18"/>
                <w:szCs w:val="18"/>
                <w:lang w:eastAsia="hu-HU"/>
              </w:rPr>
              <w:t>kötbér</w:t>
            </w:r>
            <w:r w:rsidRPr="00457B4A">
              <w:rPr>
                <w:rFonts w:eastAsia="Times New Roman"/>
                <w:sz w:val="18"/>
                <w:szCs w:val="18"/>
                <w:lang w:eastAsia="hu-HU"/>
              </w:rPr>
              <w:t xml:space="preserve"> esetén </w:t>
            </w:r>
            <w:r>
              <w:rPr>
                <w:rFonts w:eastAsia="Times New Roman"/>
                <w:sz w:val="18"/>
                <w:szCs w:val="18"/>
                <w:lang w:eastAsia="hu-HU"/>
              </w:rPr>
              <w:t>100.000 Ft/</w:t>
            </w:r>
            <w:r w:rsidRPr="00457B4A">
              <w:rPr>
                <w:rFonts w:eastAsia="Times New Roman"/>
                <w:sz w:val="18"/>
                <w:szCs w:val="18"/>
                <w:lang w:eastAsia="hu-HU"/>
              </w:rPr>
              <w:t>nappal kerül értékelésre</w:t>
            </w:r>
            <w:r>
              <w:rPr>
                <w:rFonts w:eastAsia="Times New Roman"/>
                <w:sz w:val="18"/>
                <w:szCs w:val="18"/>
                <w:lang w:eastAsia="hu-HU"/>
              </w:rPr>
              <w:t>)</w:t>
            </w:r>
            <w:r w:rsidRPr="00457B4A">
              <w:rPr>
                <w:rFonts w:eastAsia="Times New Roman"/>
                <w:sz w:val="18"/>
                <w:szCs w:val="18"/>
                <w:lang w:eastAsia="hu-HU"/>
              </w:rPr>
              <w:t xml:space="preserve"> / Súlyszám: </w:t>
            </w:r>
            <w:r>
              <w:rPr>
                <w:rFonts w:eastAsia="Times New Roman"/>
                <w:sz w:val="18"/>
                <w:szCs w:val="18"/>
                <w:lang w:eastAsia="hu-HU"/>
              </w:rPr>
              <w:t>1</w:t>
            </w:r>
            <w:r w:rsidRPr="00457B4A">
              <w:rPr>
                <w:rFonts w:eastAsia="Times New Roman"/>
                <w:sz w:val="18"/>
                <w:szCs w:val="18"/>
                <w:lang w:eastAsia="hu-HU"/>
              </w:rPr>
              <w:t>0</w:t>
            </w:r>
          </w:p>
          <w:p w:rsidR="00C858D6" w:rsidRDefault="00C858D6" w:rsidP="0042537D">
            <w:pPr>
              <w:spacing w:before="120" w:after="120"/>
              <w:ind w:left="180"/>
              <w:jc w:val="left"/>
              <w:rPr>
                <w:rFonts w:eastAsia="Times New Roman"/>
                <w:sz w:val="18"/>
                <w:szCs w:val="18"/>
                <w:lang w:eastAsia="hu-HU"/>
              </w:rPr>
            </w:pPr>
            <w:r>
              <w:rPr>
                <w:rFonts w:eastAsia="Times New Roman"/>
                <w:sz w:val="18"/>
                <w:szCs w:val="18"/>
                <w:lang w:eastAsia="hu-HU"/>
              </w:rPr>
              <w:t>Ár szempont – Megnevezés:</w:t>
            </w:r>
          </w:p>
          <w:p w:rsidR="00F31610" w:rsidRPr="00C858D6" w:rsidRDefault="00C858D6" w:rsidP="00D8145F">
            <w:pPr>
              <w:pStyle w:val="Listaszerbekezds"/>
              <w:numPr>
                <w:ilvl w:val="0"/>
                <w:numId w:val="1"/>
              </w:numPr>
              <w:spacing w:before="120" w:after="120"/>
              <w:jc w:val="left"/>
              <w:rPr>
                <w:rFonts w:eastAsia="Times New Roman"/>
                <w:lang w:eastAsia="hu-HU"/>
              </w:rPr>
            </w:pPr>
            <w:r>
              <w:rPr>
                <w:rFonts w:eastAsia="Times New Roman"/>
                <w:sz w:val="18"/>
                <w:szCs w:val="18"/>
                <w:lang w:eastAsia="hu-HU"/>
              </w:rPr>
              <w:t xml:space="preserve">Nettó ajánlati ár </w:t>
            </w:r>
            <w:r w:rsidR="00F31610" w:rsidRPr="00C858D6">
              <w:rPr>
                <w:rFonts w:eastAsia="Times New Roman"/>
                <w:sz w:val="18"/>
                <w:szCs w:val="18"/>
                <w:lang w:eastAsia="hu-HU"/>
              </w:rPr>
              <w:t xml:space="preserve">/ Súlyszám: </w:t>
            </w:r>
            <w:r w:rsidR="00D8145F">
              <w:rPr>
                <w:rFonts w:eastAsia="Times New Roman"/>
                <w:sz w:val="18"/>
                <w:szCs w:val="18"/>
                <w:lang w:eastAsia="hu-HU"/>
              </w:rPr>
              <w:t>7</w:t>
            </w:r>
            <w:r>
              <w:rPr>
                <w:rFonts w:eastAsia="Times New Roman"/>
                <w:sz w:val="18"/>
                <w:szCs w:val="18"/>
                <w:lang w:eastAsia="hu-HU"/>
              </w:rPr>
              <w:t>0</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II.2.7)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szerződés időtartama </w:t>
            </w:r>
          </w:p>
          <w:p w:rsidR="00AD62AF" w:rsidRPr="00AD62AF" w:rsidRDefault="00AD62AF" w:rsidP="00AD62AF">
            <w:pPr>
              <w:spacing w:before="120" w:after="120"/>
              <w:ind w:left="65"/>
              <w:jc w:val="left"/>
              <w:rPr>
                <w:rFonts w:eastAsia="Times New Roman"/>
                <w:sz w:val="18"/>
                <w:szCs w:val="18"/>
                <w:lang w:eastAsia="hu-HU"/>
              </w:rPr>
            </w:pPr>
            <w:r w:rsidRPr="00AD62AF">
              <w:rPr>
                <w:rFonts w:eastAsia="Times New Roman"/>
                <w:sz w:val="18"/>
                <w:szCs w:val="18"/>
                <w:lang w:eastAsia="hu-HU"/>
              </w:rPr>
              <w:t>Kezdés: 2017/0</w:t>
            </w:r>
            <w:r>
              <w:rPr>
                <w:rFonts w:eastAsia="Times New Roman"/>
                <w:sz w:val="18"/>
                <w:szCs w:val="18"/>
                <w:lang w:eastAsia="hu-HU"/>
              </w:rPr>
              <w:t>5</w:t>
            </w:r>
            <w:r w:rsidRPr="00AD62AF">
              <w:rPr>
                <w:rFonts w:eastAsia="Times New Roman"/>
                <w:sz w:val="18"/>
                <w:szCs w:val="18"/>
                <w:lang w:eastAsia="hu-HU"/>
              </w:rPr>
              <w:t>/0</w:t>
            </w:r>
            <w:r>
              <w:rPr>
                <w:rFonts w:eastAsia="Times New Roman"/>
                <w:sz w:val="18"/>
                <w:szCs w:val="18"/>
                <w:lang w:eastAsia="hu-HU"/>
              </w:rPr>
              <w:t>2</w:t>
            </w:r>
          </w:p>
          <w:p w:rsidR="00317F10" w:rsidRPr="00D13138" w:rsidRDefault="00AD62AF" w:rsidP="00AD62AF">
            <w:pPr>
              <w:spacing w:before="120" w:after="120"/>
              <w:ind w:left="65" w:right="61"/>
              <w:rPr>
                <w:rFonts w:eastAsia="Times New Roman"/>
                <w:sz w:val="18"/>
                <w:lang w:eastAsia="hu-HU"/>
              </w:rPr>
            </w:pPr>
            <w:r w:rsidRPr="00AD62AF">
              <w:rPr>
                <w:rFonts w:eastAsia="Times New Roman"/>
                <w:sz w:val="18"/>
                <w:szCs w:val="18"/>
                <w:lang w:eastAsia="hu-HU"/>
              </w:rPr>
              <w:t xml:space="preserve">Befejezés: </w:t>
            </w:r>
            <w:r w:rsidR="00552C53">
              <w:rPr>
                <w:rFonts w:eastAsia="Times New Roman"/>
                <w:sz w:val="18"/>
                <w:szCs w:val="18"/>
                <w:lang w:eastAsia="hu-HU"/>
              </w:rPr>
              <w:t>2017/08/31</w:t>
            </w:r>
          </w:p>
          <w:p w:rsidR="00F31610" w:rsidRPr="00F31610" w:rsidRDefault="00F31610" w:rsidP="00D13138">
            <w:pPr>
              <w:spacing w:before="120" w:after="120"/>
              <w:ind w:left="65"/>
              <w:jc w:val="left"/>
              <w:rPr>
                <w:rFonts w:eastAsia="Times New Roman"/>
                <w:lang w:eastAsia="hu-HU"/>
              </w:rPr>
            </w:pPr>
            <w:r w:rsidRPr="00F31610">
              <w:rPr>
                <w:rFonts w:eastAsia="Times New Roman"/>
                <w:sz w:val="18"/>
                <w:szCs w:val="18"/>
                <w:lang w:eastAsia="hu-HU"/>
              </w:rPr>
              <w:t>A szerződés meghosszabbítható</w:t>
            </w:r>
            <w:r w:rsidR="00D13138">
              <w:rPr>
                <w:rFonts w:eastAsia="Times New Roman"/>
                <w:sz w:val="18"/>
                <w:szCs w:val="18"/>
                <w:lang w:eastAsia="hu-HU"/>
              </w:rPr>
              <w:t>:</w:t>
            </w:r>
            <w:r w:rsidRPr="00F31610">
              <w:rPr>
                <w:rFonts w:eastAsia="Times New Roman"/>
                <w:sz w:val="18"/>
                <w:szCs w:val="18"/>
                <w:lang w:eastAsia="hu-HU"/>
              </w:rPr>
              <w:t xml:space="preserve"> </w:t>
            </w:r>
            <w:r w:rsidR="00D13138">
              <w:rPr>
                <w:rFonts w:eastAsia="Times New Roman"/>
                <w:sz w:val="18"/>
                <w:szCs w:val="18"/>
                <w:lang w:eastAsia="hu-HU"/>
              </w:rPr>
              <w:t>nem</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II.2.9) Változatokra (alternatív ajánlatokra) vonatkozó információk</w:t>
            </w:r>
          </w:p>
          <w:p w:rsidR="00F31610" w:rsidRPr="00F31610" w:rsidRDefault="00F31610" w:rsidP="00D13138">
            <w:pPr>
              <w:spacing w:before="120" w:after="120"/>
              <w:jc w:val="left"/>
              <w:rPr>
                <w:rFonts w:eastAsia="Times New Roman"/>
                <w:lang w:eastAsia="hu-HU"/>
              </w:rPr>
            </w:pPr>
            <w:r w:rsidRPr="00F31610">
              <w:rPr>
                <w:rFonts w:eastAsia="Times New Roman"/>
                <w:sz w:val="18"/>
                <w:szCs w:val="18"/>
                <w:lang w:eastAsia="hu-HU"/>
              </w:rPr>
              <w:t>Elfogadhatók változatok (alternatív ajánlatok)</w:t>
            </w:r>
            <w:r w:rsidR="00D13138">
              <w:rPr>
                <w:rFonts w:eastAsia="Times New Roman"/>
                <w:sz w:val="18"/>
                <w:szCs w:val="18"/>
                <w:lang w:eastAsia="hu-HU"/>
              </w:rPr>
              <w:t>:</w:t>
            </w:r>
            <w:r w:rsidRPr="00F31610">
              <w:rPr>
                <w:rFonts w:eastAsia="Times New Roman"/>
                <w:sz w:val="18"/>
                <w:szCs w:val="18"/>
                <w:lang w:eastAsia="hu-HU"/>
              </w:rPr>
              <w:t xml:space="preserve"> nem</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II.2.10) Opciókra vonatkozó információ</w:t>
            </w:r>
          </w:p>
          <w:p w:rsidR="00F31610" w:rsidRPr="00F31610" w:rsidRDefault="00F31610" w:rsidP="00D13138">
            <w:pPr>
              <w:spacing w:before="120" w:after="120"/>
              <w:jc w:val="left"/>
              <w:rPr>
                <w:rFonts w:eastAsia="Times New Roman"/>
                <w:lang w:eastAsia="hu-HU"/>
              </w:rPr>
            </w:pPr>
            <w:r w:rsidRPr="00F31610">
              <w:rPr>
                <w:rFonts w:eastAsia="Times New Roman"/>
                <w:sz w:val="18"/>
                <w:szCs w:val="18"/>
                <w:lang w:eastAsia="hu-HU"/>
              </w:rPr>
              <w:t>Opciók</w:t>
            </w:r>
            <w:r w:rsidR="00D13138">
              <w:rPr>
                <w:rFonts w:eastAsia="Times New Roman"/>
                <w:sz w:val="18"/>
                <w:szCs w:val="18"/>
                <w:lang w:eastAsia="hu-HU"/>
              </w:rPr>
              <w:t>:</w:t>
            </w:r>
            <w:r w:rsidRPr="00F31610">
              <w:rPr>
                <w:rFonts w:eastAsia="Times New Roman"/>
                <w:sz w:val="18"/>
                <w:szCs w:val="18"/>
                <w:lang w:eastAsia="hu-HU"/>
              </w:rPr>
              <w:t xml:space="preserve"> </w:t>
            </w:r>
            <w:r w:rsidR="00D13138">
              <w:rPr>
                <w:rFonts w:eastAsia="Times New Roman"/>
                <w:sz w:val="18"/>
                <w:szCs w:val="18"/>
                <w:lang w:eastAsia="hu-HU"/>
              </w:rPr>
              <w:t>nem</w:t>
            </w:r>
          </w:p>
        </w:tc>
      </w:tr>
      <w:tr w:rsidR="00F31610" w:rsidRPr="00F31610" w:rsidTr="00F31610">
        <w:tc>
          <w:tcPr>
            <w:tcW w:w="0" w:type="auto"/>
            <w:gridSpan w:val="2"/>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II.2.12) Európai uniós alapokra vonatkozó információk</w:t>
            </w:r>
          </w:p>
          <w:p w:rsidR="00F31610" w:rsidRPr="00F31610" w:rsidRDefault="00F31610" w:rsidP="00AD62AF">
            <w:pPr>
              <w:spacing w:before="120" w:after="120"/>
              <w:jc w:val="left"/>
              <w:rPr>
                <w:rFonts w:eastAsia="Times New Roman"/>
                <w:lang w:eastAsia="hu-HU"/>
              </w:rPr>
            </w:pPr>
            <w:r w:rsidRPr="00F31610">
              <w:rPr>
                <w:rFonts w:eastAsia="Times New Roman"/>
                <w:sz w:val="18"/>
                <w:szCs w:val="18"/>
                <w:lang w:eastAsia="hu-HU"/>
              </w:rPr>
              <w:t>A közbeszerzés európai uniós alapokból finanszírozott projekttel és/vagy programmal kapcsolatos</w:t>
            </w:r>
            <w:r w:rsidR="00D13138">
              <w:rPr>
                <w:rFonts w:eastAsia="Times New Roman"/>
                <w:sz w:val="18"/>
                <w:szCs w:val="18"/>
                <w:lang w:eastAsia="hu-HU"/>
              </w:rPr>
              <w:t>:</w:t>
            </w:r>
            <w:r w:rsidRPr="00F31610">
              <w:rPr>
                <w:rFonts w:eastAsia="Times New Roman"/>
                <w:sz w:val="18"/>
                <w:szCs w:val="18"/>
                <w:lang w:eastAsia="hu-HU"/>
              </w:rPr>
              <w:t xml:space="preserve"> </w:t>
            </w:r>
            <w:r w:rsidR="00AD62AF">
              <w:rPr>
                <w:rFonts w:eastAsia="Times New Roman"/>
                <w:sz w:val="18"/>
                <w:szCs w:val="18"/>
                <w:lang w:eastAsia="hu-HU"/>
              </w:rPr>
              <w:t>nem</w:t>
            </w:r>
          </w:p>
        </w:tc>
      </w:tr>
      <w:tr w:rsidR="00F31610" w:rsidRPr="00F31610" w:rsidTr="00F31610">
        <w:tc>
          <w:tcPr>
            <w:tcW w:w="0" w:type="auto"/>
            <w:gridSpan w:val="2"/>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II.2.13) További információ</w:t>
            </w:r>
          </w:p>
          <w:p w:rsidR="004A079F" w:rsidRPr="00AD62AF" w:rsidRDefault="00D13138" w:rsidP="00552C53">
            <w:pPr>
              <w:spacing w:before="120" w:after="120"/>
              <w:rPr>
                <w:rFonts w:eastAsia="Times New Roman"/>
                <w:sz w:val="18"/>
                <w:lang w:eastAsia="hu-HU"/>
              </w:rPr>
            </w:pPr>
            <w:r w:rsidRPr="000149B6">
              <w:rPr>
                <w:rFonts w:eastAsia="Times New Roman"/>
                <w:sz w:val="18"/>
                <w:lang w:eastAsia="hu-HU"/>
              </w:rPr>
              <w:t xml:space="preserve">A munkákat az ajánlattételi dokumentációval átadott </w:t>
            </w:r>
            <w:r w:rsidR="00552C53">
              <w:rPr>
                <w:rFonts w:eastAsia="Times New Roman"/>
                <w:sz w:val="18"/>
                <w:lang w:eastAsia="hu-HU"/>
              </w:rPr>
              <w:t>építési</w:t>
            </w:r>
            <w:r w:rsidR="00AD62AF">
              <w:rPr>
                <w:rFonts w:eastAsia="Times New Roman"/>
                <w:sz w:val="18"/>
                <w:lang w:eastAsia="hu-HU"/>
              </w:rPr>
              <w:t xml:space="preserve"> engedélynek és tender</w:t>
            </w:r>
            <w:r w:rsidRPr="000149B6">
              <w:rPr>
                <w:rFonts w:eastAsia="Times New Roman"/>
                <w:sz w:val="18"/>
                <w:lang w:eastAsia="hu-HU"/>
              </w:rPr>
              <w:t>dokumentációnak megfelelően kell elvégezni.</w:t>
            </w:r>
          </w:p>
        </w:tc>
      </w:tr>
    </w:tbl>
    <w:p w:rsidR="00F31610" w:rsidRPr="00F31610" w:rsidRDefault="00F31610" w:rsidP="0042537D">
      <w:pPr>
        <w:spacing w:before="120" w:after="120"/>
        <w:jc w:val="left"/>
        <w:rPr>
          <w:rFonts w:eastAsia="Times New Roman"/>
          <w:lang w:eastAsia="hu-HU"/>
        </w:rPr>
      </w:pPr>
      <w:r w:rsidRPr="005640C2">
        <w:rPr>
          <w:rFonts w:eastAsia="Times New Roman"/>
          <w:b/>
          <w:bCs/>
          <w:sz w:val="28"/>
          <w:szCs w:val="28"/>
          <w:lang w:eastAsia="hu-HU"/>
        </w:rPr>
        <w:t>III. szakasz: Jogi, gazdasági, pénzügyi és műszaki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9795" w:type="dxa"/>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III.1.1) Kizáró okok és a szakmai tevékenység végzésére vonatkozó alkalmasság</w:t>
            </w:r>
          </w:p>
          <w:p w:rsidR="000217B8" w:rsidRPr="00F31610" w:rsidRDefault="00F31610" w:rsidP="000217B8">
            <w:pPr>
              <w:spacing w:before="120" w:after="120"/>
              <w:ind w:left="65" w:right="61"/>
              <w:rPr>
                <w:rFonts w:eastAsia="Times New Roman"/>
                <w:lang w:eastAsia="hu-HU"/>
              </w:rPr>
            </w:pPr>
            <w:r w:rsidRPr="00F31610">
              <w:rPr>
                <w:rFonts w:eastAsia="Times New Roman"/>
                <w:sz w:val="18"/>
                <w:szCs w:val="18"/>
                <w:lang w:eastAsia="hu-HU"/>
              </w:rPr>
              <w:t>A kizáró okok felsorolása:</w:t>
            </w:r>
            <w:r w:rsidR="000217B8">
              <w:rPr>
                <w:rFonts w:eastAsia="Times New Roman"/>
                <w:sz w:val="18"/>
                <w:szCs w:val="18"/>
                <w:lang w:eastAsia="hu-HU"/>
              </w:rPr>
              <w:t xml:space="preserve"> </w:t>
            </w:r>
            <w:r w:rsidR="000217B8" w:rsidRPr="000149B6">
              <w:rPr>
                <w:rFonts w:eastAsia="Times New Roman"/>
                <w:sz w:val="18"/>
                <w:szCs w:val="18"/>
                <w:lang w:eastAsia="hu-HU"/>
              </w:rPr>
              <w:t>Az eljárásban nem lehet ajánlattevő, alvállalkozó, és nem vehet részt az alkalmasság igazolásában olyan gazdasági szereplő, akinek tekintetében a Kbt. 62. § (1) bekezdés g)</w:t>
            </w:r>
            <w:proofErr w:type="spellStart"/>
            <w:r w:rsidR="000217B8" w:rsidRPr="000149B6">
              <w:rPr>
                <w:rFonts w:eastAsia="Times New Roman"/>
                <w:sz w:val="18"/>
                <w:szCs w:val="18"/>
                <w:lang w:eastAsia="hu-HU"/>
              </w:rPr>
              <w:t>-k</w:t>
            </w:r>
            <w:proofErr w:type="spellEnd"/>
            <w:r w:rsidR="000217B8" w:rsidRPr="000149B6">
              <w:rPr>
                <w:rFonts w:eastAsia="Times New Roman"/>
                <w:sz w:val="18"/>
                <w:szCs w:val="18"/>
                <w:lang w:eastAsia="hu-HU"/>
              </w:rPr>
              <w:t>)</w:t>
            </w:r>
            <w:r w:rsidR="002C0347">
              <w:rPr>
                <w:rFonts w:eastAsia="Times New Roman"/>
                <w:sz w:val="18"/>
                <w:szCs w:val="18"/>
                <w:lang w:eastAsia="hu-HU"/>
              </w:rPr>
              <w:t>, m) és q</w:t>
            </w:r>
            <w:r w:rsidR="000217B8" w:rsidRPr="000149B6">
              <w:rPr>
                <w:rFonts w:eastAsia="Times New Roman"/>
                <w:sz w:val="18"/>
                <w:szCs w:val="18"/>
                <w:lang w:eastAsia="hu-HU"/>
              </w:rPr>
              <w:t>) pontja szerinti kizáró okok fennállnak.</w:t>
            </w:r>
          </w:p>
          <w:p w:rsidR="00F31610" w:rsidRPr="00F31610" w:rsidRDefault="000217B8" w:rsidP="000217B8">
            <w:pPr>
              <w:spacing w:before="120" w:after="120"/>
              <w:jc w:val="left"/>
              <w:rPr>
                <w:rFonts w:eastAsia="Times New Roman"/>
                <w:lang w:eastAsia="hu-HU"/>
              </w:rPr>
            </w:pPr>
            <w:r w:rsidRPr="00F31610">
              <w:rPr>
                <w:rFonts w:eastAsia="Times New Roman"/>
                <w:sz w:val="18"/>
                <w:szCs w:val="18"/>
                <w:lang w:eastAsia="hu-HU"/>
              </w:rPr>
              <w:t>Az igazolási módok felsorolása és rövid leírása:</w:t>
            </w:r>
            <w:r>
              <w:rPr>
                <w:rFonts w:eastAsia="Times New Roman"/>
                <w:sz w:val="18"/>
                <w:szCs w:val="18"/>
                <w:lang w:eastAsia="hu-HU"/>
              </w:rPr>
              <w:t xml:space="preserve"> </w:t>
            </w:r>
            <w:r w:rsidRPr="000149B6">
              <w:rPr>
                <w:rFonts w:eastAsia="Times New Roman"/>
                <w:sz w:val="18"/>
                <w:szCs w:val="18"/>
                <w:lang w:eastAsia="hu-HU"/>
              </w:rPr>
              <w:t xml:space="preserve">A kizáró okok fenn nem állásáról az ajánlattevőnek a közbeszerzési eljárásokban az alkalmasság és a kizáró okok igazolásának, valamint a közbeszerzési műszaki leírás meghatározásának módjáról szóló 321/2015. (X. </w:t>
            </w:r>
            <w:r w:rsidRPr="000149B6">
              <w:rPr>
                <w:rFonts w:eastAsia="Times New Roman"/>
                <w:sz w:val="18"/>
                <w:szCs w:val="18"/>
                <w:lang w:eastAsia="hu-HU"/>
              </w:rPr>
              <w:lastRenderedPageBreak/>
              <w:t>30.) Korm. rendelet 17. § (1) – (2) bekezdése szerint kell az ajánlatban írásban nyilatkoznia, illetve dokumentumot benyújtania.</w:t>
            </w:r>
          </w:p>
        </w:tc>
      </w:tr>
      <w:tr w:rsidR="00F31610" w:rsidRPr="00F31610" w:rsidTr="00F31610">
        <w:tc>
          <w:tcPr>
            <w:tcW w:w="9795" w:type="dxa"/>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III.1.2) Gazdasági és pénzügyi alkalmasság</w:t>
            </w:r>
          </w:p>
        </w:tc>
      </w:tr>
      <w:tr w:rsidR="000217B8" w:rsidRPr="00F31610" w:rsidTr="00AD171F">
        <w:tc>
          <w:tcPr>
            <w:tcW w:w="9795" w:type="dxa"/>
          </w:tcPr>
          <w:p w:rsidR="000217B8" w:rsidRPr="00F31610" w:rsidRDefault="000217B8" w:rsidP="002C0347">
            <w:pPr>
              <w:spacing w:before="120" w:after="120"/>
              <w:ind w:left="280" w:hanging="280"/>
              <w:jc w:val="left"/>
              <w:rPr>
                <w:rFonts w:eastAsia="Times New Roman"/>
                <w:lang w:eastAsia="hu-HU"/>
              </w:rPr>
            </w:pPr>
            <w:r w:rsidRPr="000149B6">
              <w:rPr>
                <w:sz w:val="18"/>
              </w:rPr>
              <w:t>A Kbt. 115. § (</w:t>
            </w:r>
            <w:r w:rsidR="002C0347">
              <w:rPr>
                <w:sz w:val="18"/>
              </w:rPr>
              <w:t>2</w:t>
            </w:r>
            <w:r w:rsidRPr="000149B6">
              <w:rPr>
                <w:sz w:val="18"/>
              </w:rPr>
              <w:t>) bekezdése alapján az ajánlatkérő az eljárásban nem ír elő alkalmassági követelményt.</w:t>
            </w:r>
          </w:p>
        </w:tc>
      </w:tr>
      <w:tr w:rsidR="00F31610" w:rsidRPr="00F31610" w:rsidTr="00F31610">
        <w:tc>
          <w:tcPr>
            <w:tcW w:w="9795" w:type="dxa"/>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III.1.3) Műszaki, illetve szakmai alkalmasság</w:t>
            </w:r>
          </w:p>
        </w:tc>
      </w:tr>
      <w:tr w:rsidR="000217B8" w:rsidRPr="00F31610" w:rsidTr="00AD171F">
        <w:tc>
          <w:tcPr>
            <w:tcW w:w="9795" w:type="dxa"/>
          </w:tcPr>
          <w:p w:rsidR="000217B8" w:rsidRPr="00F31610" w:rsidRDefault="000217B8" w:rsidP="002C0347">
            <w:pPr>
              <w:spacing w:before="120" w:after="120"/>
              <w:ind w:left="280" w:hanging="280"/>
              <w:jc w:val="left"/>
              <w:rPr>
                <w:rFonts w:eastAsia="Times New Roman"/>
                <w:lang w:eastAsia="hu-HU"/>
              </w:rPr>
            </w:pPr>
            <w:r w:rsidRPr="000149B6">
              <w:rPr>
                <w:sz w:val="18"/>
              </w:rPr>
              <w:t>A Kbt. 115. § (</w:t>
            </w:r>
            <w:r w:rsidR="002C0347">
              <w:rPr>
                <w:sz w:val="18"/>
              </w:rPr>
              <w:t>2</w:t>
            </w:r>
            <w:r w:rsidRPr="000149B6">
              <w:rPr>
                <w:sz w:val="18"/>
              </w:rPr>
              <w:t>) bekezdése alapján az ajánlatkérő az eljárásban nem ír elő alkalmassági követelményt.</w:t>
            </w:r>
          </w:p>
        </w:tc>
      </w:tr>
      <w:tr w:rsidR="00F31610" w:rsidRPr="00F31610" w:rsidTr="00F31610">
        <w:tc>
          <w:tcPr>
            <w:tcW w:w="9795" w:type="dxa"/>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III.1.5) Fenntartott szer</w:t>
            </w:r>
            <w:r w:rsidR="000217B8">
              <w:rPr>
                <w:rFonts w:eastAsia="Times New Roman"/>
                <w:b/>
                <w:bCs/>
                <w:sz w:val="18"/>
                <w:szCs w:val="18"/>
                <w:lang w:eastAsia="hu-HU"/>
              </w:rPr>
              <w:t>ződésekre vonatkozó információk</w:t>
            </w:r>
          </w:p>
          <w:p w:rsidR="00F31610" w:rsidRPr="00F31610" w:rsidRDefault="00F31610" w:rsidP="000217B8">
            <w:pPr>
              <w:spacing w:before="120" w:after="120"/>
              <w:jc w:val="left"/>
              <w:rPr>
                <w:rFonts w:eastAsia="Times New Roman"/>
                <w:lang w:eastAsia="hu-HU"/>
              </w:rPr>
            </w:pPr>
            <w:r w:rsidRPr="00F31610">
              <w:rPr>
                <w:rFonts w:eastAsia="Times New Roman"/>
                <w:sz w:val="18"/>
                <w:szCs w:val="18"/>
                <w:lang w:eastAsia="hu-HU"/>
              </w:rPr>
              <w:t xml:space="preserve">A szerződés </w:t>
            </w:r>
            <w:r w:rsidR="000217B8">
              <w:rPr>
                <w:rFonts w:eastAsia="Times New Roman"/>
                <w:sz w:val="18"/>
                <w:szCs w:val="18"/>
                <w:lang w:eastAsia="hu-HU"/>
              </w:rPr>
              <w:t>nem</w:t>
            </w:r>
            <w:r w:rsidRPr="00F31610">
              <w:rPr>
                <w:rFonts w:eastAsia="Times New Roman"/>
                <w:sz w:val="18"/>
                <w:szCs w:val="18"/>
                <w:lang w:eastAsia="hu-HU"/>
              </w:rPr>
              <w:t xml:space="preserve"> fenntartott</w:t>
            </w:r>
            <w:r w:rsidR="000217B8">
              <w:rPr>
                <w:rFonts w:eastAsia="Times New Roman"/>
                <w:sz w:val="18"/>
                <w:szCs w:val="18"/>
                <w:lang w:eastAsia="hu-HU"/>
              </w:rPr>
              <w:t>.</w:t>
            </w:r>
          </w:p>
        </w:tc>
      </w:tr>
      <w:tr w:rsidR="00F31610" w:rsidRPr="00F31610" w:rsidTr="00F31610">
        <w:tc>
          <w:tcPr>
            <w:tcW w:w="9795" w:type="dxa"/>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III</w:t>
            </w:r>
            <w:r w:rsidR="000217B8">
              <w:rPr>
                <w:rFonts w:eastAsia="Times New Roman"/>
                <w:b/>
                <w:bCs/>
                <w:sz w:val="18"/>
                <w:szCs w:val="18"/>
                <w:lang w:eastAsia="hu-HU"/>
              </w:rPr>
              <w:t xml:space="preserve">.1.6) </w:t>
            </w:r>
            <w:proofErr w:type="gramStart"/>
            <w:r w:rsidR="000217B8">
              <w:rPr>
                <w:rFonts w:eastAsia="Times New Roman"/>
                <w:b/>
                <w:bCs/>
                <w:sz w:val="18"/>
                <w:szCs w:val="18"/>
                <w:lang w:eastAsia="hu-HU"/>
              </w:rPr>
              <w:t>A</w:t>
            </w:r>
            <w:proofErr w:type="gramEnd"/>
            <w:r w:rsidR="000217B8">
              <w:rPr>
                <w:rFonts w:eastAsia="Times New Roman"/>
                <w:b/>
                <w:bCs/>
                <w:sz w:val="18"/>
                <w:szCs w:val="18"/>
                <w:lang w:eastAsia="hu-HU"/>
              </w:rPr>
              <w:t xml:space="preserve"> szerződés biztosítékai:</w:t>
            </w:r>
          </w:p>
          <w:p w:rsidR="00A6076C" w:rsidRPr="00A6076C" w:rsidRDefault="000217B8" w:rsidP="00AD62AF">
            <w:pPr>
              <w:spacing w:before="120" w:after="120"/>
              <w:ind w:left="65" w:right="61"/>
              <w:rPr>
                <w:rFonts w:eastAsia="Times New Roman"/>
                <w:sz w:val="18"/>
                <w:lang w:eastAsia="hu-HU"/>
              </w:rPr>
            </w:pPr>
            <w:r w:rsidRPr="00685D30">
              <w:rPr>
                <w:rFonts w:eastAsia="Times New Roman"/>
                <w:sz w:val="18"/>
                <w:lang w:eastAsia="hu-HU"/>
              </w:rPr>
              <w:t>Késedelmi kötbér, meghiúsulási kötbér, jótállás</w:t>
            </w:r>
            <w:r>
              <w:rPr>
                <w:rFonts w:eastAsia="Times New Roman"/>
                <w:sz w:val="18"/>
                <w:lang w:eastAsia="hu-HU"/>
              </w:rPr>
              <w:t>, jótállási biztosíték az ajánlattételi dokumentációban részletezettek szerint.</w:t>
            </w:r>
          </w:p>
        </w:tc>
      </w:tr>
      <w:tr w:rsidR="00F31610" w:rsidRPr="00F31610" w:rsidTr="00F31610">
        <w:tc>
          <w:tcPr>
            <w:tcW w:w="9795" w:type="dxa"/>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III.1.7) Az ellenszolgáltatás teljesítésének feltételei és / vagy hivatkozás a vonatkozó jogszabályi rendelkezésekre:</w:t>
            </w:r>
          </w:p>
          <w:p w:rsidR="00D324DD" w:rsidRDefault="00D324DD" w:rsidP="00D324DD">
            <w:pPr>
              <w:spacing w:before="120" w:after="120"/>
              <w:ind w:left="65" w:right="61"/>
              <w:rPr>
                <w:rFonts w:eastAsia="Times New Roman"/>
                <w:sz w:val="18"/>
                <w:lang w:eastAsia="hu-HU"/>
              </w:rPr>
            </w:pPr>
            <w:r w:rsidRPr="00D324DD">
              <w:rPr>
                <w:rFonts w:eastAsia="Times New Roman"/>
                <w:sz w:val="18"/>
                <w:lang w:eastAsia="hu-HU"/>
              </w:rPr>
              <w:t>Az ajánlatkérő nem határoz meg tartalékkeretet.</w:t>
            </w:r>
            <w:r>
              <w:rPr>
                <w:rFonts w:eastAsia="Times New Roman"/>
                <w:sz w:val="18"/>
                <w:lang w:eastAsia="hu-HU"/>
              </w:rPr>
              <w:t xml:space="preserve"> </w:t>
            </w:r>
            <w:r w:rsidRPr="00D324DD">
              <w:rPr>
                <w:rFonts w:eastAsia="Times New Roman"/>
                <w:bCs/>
                <w:sz w:val="18"/>
                <w:lang w:eastAsia="hu-HU"/>
              </w:rPr>
              <w:t>A száml</w:t>
            </w:r>
            <w:r>
              <w:rPr>
                <w:rFonts w:eastAsia="Times New Roman"/>
                <w:bCs/>
                <w:sz w:val="18"/>
                <w:lang w:eastAsia="hu-HU"/>
              </w:rPr>
              <w:t>ák</w:t>
            </w:r>
            <w:r w:rsidRPr="00D324DD">
              <w:rPr>
                <w:rFonts w:eastAsia="Times New Roman"/>
                <w:bCs/>
                <w:sz w:val="18"/>
                <w:lang w:eastAsia="hu-HU"/>
              </w:rPr>
              <w:t xml:space="preserve"> kifizetése </w:t>
            </w:r>
            <w:r w:rsidR="00AD62AF">
              <w:rPr>
                <w:rFonts w:eastAsia="Times New Roman"/>
                <w:bCs/>
                <w:sz w:val="18"/>
                <w:lang w:eastAsia="hu-HU"/>
              </w:rPr>
              <w:t>utó</w:t>
            </w:r>
            <w:r w:rsidRPr="00D324DD">
              <w:rPr>
                <w:rFonts w:eastAsia="Times New Roman"/>
                <w:bCs/>
                <w:sz w:val="18"/>
                <w:lang w:eastAsia="hu-HU"/>
              </w:rPr>
              <w:t>finanszírozással történik.</w:t>
            </w:r>
          </w:p>
          <w:p w:rsidR="00850A82" w:rsidRDefault="00AD62AF" w:rsidP="00D324DD">
            <w:pPr>
              <w:spacing w:before="120" w:after="120"/>
              <w:ind w:left="65" w:right="61"/>
              <w:rPr>
                <w:rFonts w:eastAsia="Times New Roman"/>
                <w:sz w:val="18"/>
                <w:lang w:eastAsia="hu-HU"/>
              </w:rPr>
            </w:pPr>
            <w:r w:rsidRPr="00685D30">
              <w:rPr>
                <w:rFonts w:eastAsia="Times New Roman"/>
                <w:sz w:val="18"/>
                <w:lang w:eastAsia="hu-HU"/>
              </w:rPr>
              <w:t xml:space="preserve">Ajánlatkérő előleget biztosít a Kbt. 135. § (7) bekezdésének megfelelően. Az ajánlatkérő biztosítja </w:t>
            </w:r>
            <w:r w:rsidR="00552C53">
              <w:rPr>
                <w:rFonts w:eastAsia="Times New Roman"/>
                <w:sz w:val="18"/>
                <w:lang w:eastAsia="hu-HU"/>
              </w:rPr>
              <w:t xml:space="preserve">2 </w:t>
            </w:r>
            <w:r w:rsidRPr="00685D30">
              <w:rPr>
                <w:rFonts w:eastAsia="Times New Roman"/>
                <w:sz w:val="18"/>
                <w:lang w:eastAsia="hu-HU"/>
              </w:rPr>
              <w:t xml:space="preserve">db részszámla benyújtásának a lehetőségét az elvégzett teljesítéssel arányos mértékben </w:t>
            </w:r>
            <w:r>
              <w:rPr>
                <w:rFonts w:eastAsia="Times New Roman"/>
                <w:sz w:val="18"/>
                <w:lang w:eastAsia="hu-HU"/>
              </w:rPr>
              <w:t xml:space="preserve">a </w:t>
            </w:r>
            <w:r w:rsidR="00552C53">
              <w:rPr>
                <w:rFonts w:eastAsia="Times New Roman"/>
                <w:sz w:val="18"/>
                <w:lang w:eastAsia="hu-HU"/>
              </w:rPr>
              <w:t>40</w:t>
            </w:r>
            <w:r>
              <w:rPr>
                <w:rFonts w:eastAsia="Times New Roman"/>
                <w:sz w:val="18"/>
                <w:lang w:eastAsia="hu-HU"/>
              </w:rPr>
              <w:t xml:space="preserve"> százalékos és a </w:t>
            </w:r>
            <w:r w:rsidR="00552C53">
              <w:rPr>
                <w:rFonts w:eastAsia="Times New Roman"/>
                <w:sz w:val="18"/>
                <w:lang w:eastAsia="hu-HU"/>
              </w:rPr>
              <w:t>80</w:t>
            </w:r>
            <w:r>
              <w:rPr>
                <w:rFonts w:eastAsia="Times New Roman"/>
                <w:sz w:val="18"/>
                <w:lang w:eastAsia="hu-HU"/>
              </w:rPr>
              <w:t xml:space="preserve"> százalékos</w:t>
            </w:r>
            <w:r w:rsidRPr="00685D30">
              <w:rPr>
                <w:rFonts w:eastAsia="Times New Roman"/>
                <w:sz w:val="18"/>
                <w:lang w:eastAsia="hu-HU"/>
              </w:rPr>
              <w:t xml:space="preserve"> készültségi fok elérését követően. A végszámla a sikeres műszaki átadás-átvételét követően nyújtható be. A számla benyújtására és teljesítésére az ajánlatkérő a Kbt. és az építési beruházások, valamint az építési beruházásokhoz kapcsolódó tervezői és mérnöki szolgáltatások közbeszerzésének részletes szabályairól szóló 322/2015. (X. 30.) Korm. rendelet előírásait alkalmazza. Fizetési határidő 30 nap</w:t>
            </w:r>
            <w:r w:rsidR="00D324DD">
              <w:rPr>
                <w:rFonts w:eastAsia="Times New Roman"/>
                <w:sz w:val="18"/>
                <w:lang w:eastAsia="hu-HU"/>
              </w:rPr>
              <w:t>.</w:t>
            </w:r>
          </w:p>
          <w:p w:rsidR="00D324DD" w:rsidRPr="00D324DD" w:rsidRDefault="00D324DD" w:rsidP="00D324DD">
            <w:pPr>
              <w:spacing w:before="120" w:after="120"/>
              <w:ind w:left="65" w:right="61"/>
              <w:rPr>
                <w:rFonts w:eastAsia="Times New Roman"/>
                <w:sz w:val="18"/>
                <w:lang w:eastAsia="hu-HU"/>
              </w:rPr>
            </w:pPr>
            <w:r w:rsidRPr="00D324DD">
              <w:rPr>
                <w:rFonts w:eastAsia="Times New Roman"/>
                <w:sz w:val="18"/>
                <w:lang w:eastAsia="hu-HU"/>
              </w:rPr>
              <w:t>Az ajánlattétel, a szerződés és a kifizetések pénzneme a forint.</w:t>
            </w:r>
          </w:p>
          <w:p w:rsidR="00D324DD" w:rsidRDefault="00D324DD" w:rsidP="00D324DD">
            <w:pPr>
              <w:spacing w:before="120" w:after="120"/>
              <w:ind w:left="65" w:right="61"/>
              <w:rPr>
                <w:rFonts w:eastAsia="Times New Roman"/>
                <w:sz w:val="18"/>
                <w:lang w:eastAsia="hu-HU"/>
              </w:rPr>
            </w:pPr>
            <w:r w:rsidRPr="00D324DD">
              <w:rPr>
                <w:rFonts w:eastAsia="Times New Roman"/>
                <w:sz w:val="18"/>
                <w:lang w:eastAsia="hu-HU"/>
              </w:rPr>
              <w:t>A részletes fizetési feltételeket a közbeszerzési dokumentáció, illetve a szerződéstervezet tartalmazza.</w:t>
            </w:r>
          </w:p>
          <w:p w:rsidR="00157352" w:rsidRPr="00157352" w:rsidRDefault="00157352" w:rsidP="00157352">
            <w:pPr>
              <w:spacing w:before="120" w:after="120"/>
              <w:ind w:left="65" w:right="61"/>
              <w:rPr>
                <w:rFonts w:eastAsia="Times New Roman"/>
                <w:sz w:val="18"/>
                <w:lang w:eastAsia="hu-HU"/>
              </w:rPr>
            </w:pPr>
            <w:r w:rsidRPr="00157352">
              <w:rPr>
                <w:rFonts w:eastAsia="Times New Roman"/>
                <w:sz w:val="18"/>
                <w:lang w:eastAsia="hu-HU"/>
              </w:rPr>
              <w:t>A fizetési feltételek kapcsán irányadó jogszabályok még:</w:t>
            </w:r>
          </w:p>
          <w:p w:rsidR="00157352" w:rsidRPr="00157352" w:rsidRDefault="00157352" w:rsidP="00157352">
            <w:pPr>
              <w:spacing w:before="120" w:after="120"/>
              <w:ind w:left="65" w:right="61"/>
              <w:rPr>
                <w:rFonts w:eastAsia="Times New Roman"/>
                <w:sz w:val="18"/>
                <w:lang w:eastAsia="hu-HU"/>
              </w:rPr>
            </w:pPr>
            <w:r>
              <w:rPr>
                <w:rFonts w:eastAsia="Times New Roman"/>
                <w:sz w:val="18"/>
                <w:lang w:eastAsia="hu-HU"/>
              </w:rPr>
              <w:t xml:space="preserve">- </w:t>
            </w:r>
            <w:r w:rsidRPr="00157352">
              <w:rPr>
                <w:rFonts w:eastAsia="Times New Roman"/>
                <w:sz w:val="18"/>
                <w:lang w:eastAsia="hu-HU"/>
              </w:rPr>
              <w:t>Az építési beruházások, valamint az építési beruházásokhoz kapcsolódó tervezői és mérnöki szolgáltatások közbeszerzésének részletes szabályairól szóló 322/2015. (X.30.) Kormányrendelet.</w:t>
            </w:r>
          </w:p>
          <w:p w:rsidR="00157352" w:rsidRPr="00157352" w:rsidRDefault="00157352" w:rsidP="00157352">
            <w:pPr>
              <w:spacing w:before="120" w:after="120"/>
              <w:ind w:left="65" w:right="61"/>
              <w:rPr>
                <w:rFonts w:eastAsia="Times New Roman"/>
                <w:sz w:val="18"/>
                <w:lang w:eastAsia="hu-HU"/>
              </w:rPr>
            </w:pPr>
            <w:r w:rsidRPr="00157352">
              <w:rPr>
                <w:rFonts w:eastAsia="Times New Roman"/>
                <w:sz w:val="18"/>
                <w:lang w:eastAsia="hu-HU"/>
              </w:rPr>
              <w:t>- Az adózás rendjéről szóló 2003. évi XCII. törvény, különösen, de nem kizárólagosan annak 36/</w:t>
            </w:r>
            <w:proofErr w:type="gramStart"/>
            <w:r w:rsidRPr="00157352">
              <w:rPr>
                <w:rFonts w:eastAsia="Times New Roman"/>
                <w:sz w:val="18"/>
                <w:lang w:eastAsia="hu-HU"/>
              </w:rPr>
              <w:t>A</w:t>
            </w:r>
            <w:proofErr w:type="gramEnd"/>
            <w:r w:rsidRPr="00157352">
              <w:rPr>
                <w:rFonts w:eastAsia="Times New Roman"/>
                <w:sz w:val="18"/>
                <w:lang w:eastAsia="hu-HU"/>
              </w:rPr>
              <w:t>. §</w:t>
            </w:r>
            <w:proofErr w:type="spellStart"/>
            <w:r w:rsidRPr="00157352">
              <w:rPr>
                <w:rFonts w:eastAsia="Times New Roman"/>
                <w:sz w:val="18"/>
                <w:lang w:eastAsia="hu-HU"/>
              </w:rPr>
              <w:t>-</w:t>
            </w:r>
            <w:proofErr w:type="gramStart"/>
            <w:r w:rsidRPr="00157352">
              <w:rPr>
                <w:rFonts w:eastAsia="Times New Roman"/>
                <w:sz w:val="18"/>
                <w:lang w:eastAsia="hu-HU"/>
              </w:rPr>
              <w:t>a</w:t>
            </w:r>
            <w:proofErr w:type="spellEnd"/>
            <w:r w:rsidRPr="00157352">
              <w:rPr>
                <w:rFonts w:eastAsia="Times New Roman"/>
                <w:sz w:val="18"/>
                <w:lang w:eastAsia="hu-HU"/>
              </w:rPr>
              <w:t>.</w:t>
            </w:r>
            <w:proofErr w:type="gramEnd"/>
          </w:p>
          <w:p w:rsidR="00157352" w:rsidRPr="00157352" w:rsidRDefault="00157352" w:rsidP="00157352">
            <w:pPr>
              <w:spacing w:before="120" w:after="120"/>
              <w:ind w:left="65" w:right="61"/>
              <w:rPr>
                <w:rFonts w:eastAsia="Times New Roman"/>
                <w:sz w:val="18"/>
                <w:lang w:eastAsia="hu-HU"/>
              </w:rPr>
            </w:pPr>
            <w:r w:rsidRPr="00157352">
              <w:rPr>
                <w:rFonts w:eastAsia="Times New Roman"/>
                <w:sz w:val="18"/>
                <w:lang w:eastAsia="hu-HU"/>
              </w:rPr>
              <w:t>- Az általános forgalmi adóról szóló 2007. évi CXXVII. törvény</w:t>
            </w:r>
          </w:p>
          <w:p w:rsidR="00157352" w:rsidRPr="00157352" w:rsidRDefault="00157352" w:rsidP="00157352">
            <w:pPr>
              <w:spacing w:before="120" w:after="120"/>
              <w:ind w:left="65" w:right="61"/>
              <w:rPr>
                <w:rFonts w:eastAsia="Times New Roman"/>
                <w:sz w:val="18"/>
                <w:lang w:eastAsia="hu-HU"/>
              </w:rPr>
            </w:pPr>
            <w:r w:rsidRPr="00157352">
              <w:rPr>
                <w:rFonts w:eastAsia="Times New Roman"/>
                <w:sz w:val="18"/>
                <w:lang w:eastAsia="hu-HU"/>
              </w:rPr>
              <w:t>- Az államháztartásról szóló 2011. évi CXCV. törvény</w:t>
            </w:r>
          </w:p>
          <w:p w:rsidR="00157352" w:rsidRPr="00157352" w:rsidRDefault="00157352" w:rsidP="00157352">
            <w:pPr>
              <w:spacing w:before="120" w:after="120"/>
              <w:ind w:left="65" w:right="61"/>
              <w:rPr>
                <w:rFonts w:eastAsia="Times New Roman"/>
                <w:sz w:val="18"/>
                <w:lang w:eastAsia="hu-HU"/>
              </w:rPr>
            </w:pPr>
            <w:r w:rsidRPr="00157352">
              <w:rPr>
                <w:rFonts w:eastAsia="Times New Roman"/>
                <w:sz w:val="18"/>
                <w:lang w:eastAsia="hu-HU"/>
              </w:rPr>
              <w:t>- Az államháztartásról szóló törvény végrehajtásáról szóló 368/2011. (XII.31.) Kormányrendelet;</w:t>
            </w:r>
          </w:p>
          <w:p w:rsidR="00157352" w:rsidRPr="00F31610" w:rsidRDefault="00157352" w:rsidP="00157352">
            <w:pPr>
              <w:spacing w:before="120" w:after="120"/>
              <w:ind w:left="65" w:right="61"/>
              <w:rPr>
                <w:rFonts w:eastAsia="Times New Roman"/>
                <w:lang w:eastAsia="hu-HU"/>
              </w:rPr>
            </w:pPr>
            <w:r w:rsidRPr="00157352">
              <w:rPr>
                <w:rFonts w:eastAsia="Times New Roman"/>
                <w:sz w:val="18"/>
                <w:lang w:eastAsia="hu-HU"/>
              </w:rPr>
              <w:t>- A számla késedelmes fizetése esetében a Ptk. 6:155.§ (1) és (2) bekezdése irányadó.</w:t>
            </w:r>
          </w:p>
        </w:tc>
      </w:tr>
      <w:tr w:rsidR="00F31610" w:rsidRPr="00F31610" w:rsidTr="00F31610">
        <w:tc>
          <w:tcPr>
            <w:tcW w:w="9795" w:type="dxa"/>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 xml:space="preserve">III.1.8)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nyertes közös ajánlattevők által lét</w:t>
            </w:r>
            <w:r w:rsidR="00B17911">
              <w:rPr>
                <w:rFonts w:eastAsia="Times New Roman"/>
                <w:b/>
                <w:bCs/>
                <w:sz w:val="18"/>
                <w:szCs w:val="18"/>
                <w:lang w:eastAsia="hu-HU"/>
              </w:rPr>
              <w:t>rehozandó gazdálkodó szervezet:</w:t>
            </w:r>
          </w:p>
          <w:p w:rsidR="00B17911" w:rsidRPr="00F31610" w:rsidRDefault="00B17911" w:rsidP="00B17911">
            <w:pPr>
              <w:spacing w:before="120" w:after="120"/>
              <w:ind w:left="65" w:right="61"/>
              <w:rPr>
                <w:rFonts w:eastAsia="Times New Roman"/>
                <w:lang w:eastAsia="hu-HU"/>
              </w:rPr>
            </w:pPr>
            <w:r w:rsidRPr="00685D30">
              <w:rPr>
                <w:sz w:val="18"/>
              </w:rPr>
              <w:t>Az ajánlatkérő a projekttársaság létrehozásának lehetőségét kizárja.</w:t>
            </w:r>
            <w:r>
              <w:rPr>
                <w:sz w:val="18"/>
              </w:rPr>
              <w:t xml:space="preserve"> </w:t>
            </w:r>
            <w:r w:rsidRPr="00B17911">
              <w:rPr>
                <w:sz w:val="18"/>
              </w:rPr>
              <w:t>Együttes ajánlat esetén a vezető céget meg kell jelölni, a konzorciumi/együttműködési szerződést az ajánlathoz kell csatolni.</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IV. szakasz: Eljárás</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IV.1.1) Az eljárás fajtája</w:t>
            </w:r>
          </w:p>
        </w:tc>
      </w:tr>
      <w:tr w:rsidR="00B17911" w:rsidRPr="00F31610" w:rsidTr="00AD171F">
        <w:tc>
          <w:tcPr>
            <w:tcW w:w="9795" w:type="dxa"/>
            <w:hideMark/>
          </w:tcPr>
          <w:p w:rsidR="00B17911" w:rsidRPr="00F31610" w:rsidRDefault="00B17911" w:rsidP="00B17911">
            <w:pPr>
              <w:spacing w:before="120" w:after="120"/>
              <w:ind w:left="65"/>
              <w:jc w:val="left"/>
              <w:rPr>
                <w:rFonts w:eastAsia="Times New Roman"/>
                <w:lang w:eastAsia="hu-HU"/>
              </w:rPr>
            </w:pPr>
            <w:r w:rsidRPr="00F31610">
              <w:rPr>
                <w:rFonts w:eastAsia="Times New Roman"/>
                <w:sz w:val="18"/>
                <w:szCs w:val="18"/>
                <w:lang w:eastAsia="hu-HU"/>
              </w:rPr>
              <w:t>Nyílt eljárás</w:t>
            </w:r>
            <w:r>
              <w:rPr>
                <w:rFonts w:eastAsia="Times New Roman"/>
                <w:sz w:val="18"/>
                <w:szCs w:val="18"/>
                <w:lang w:eastAsia="hu-HU"/>
              </w:rPr>
              <w:t xml:space="preserve"> a Kbt. 115. § (1) bekezdése szerint</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IV.1.5) Elektronikus á</w:t>
            </w:r>
            <w:r w:rsidR="00B17911">
              <w:rPr>
                <w:rFonts w:eastAsia="Times New Roman"/>
                <w:b/>
                <w:bCs/>
                <w:sz w:val="18"/>
                <w:szCs w:val="18"/>
                <w:lang w:eastAsia="hu-HU"/>
              </w:rPr>
              <w:t>rlejtésre vonatkozó információk</w:t>
            </w:r>
          </w:p>
          <w:p w:rsidR="00F31610" w:rsidRPr="00F31610" w:rsidRDefault="00F31610" w:rsidP="00B17911">
            <w:pPr>
              <w:spacing w:before="120" w:after="120"/>
              <w:ind w:left="65"/>
              <w:jc w:val="left"/>
              <w:rPr>
                <w:rFonts w:eastAsia="Times New Roman"/>
                <w:lang w:eastAsia="hu-HU"/>
              </w:rPr>
            </w:pPr>
            <w:r w:rsidRPr="00F31610">
              <w:rPr>
                <w:rFonts w:eastAsia="Times New Roman"/>
                <w:sz w:val="18"/>
                <w:szCs w:val="18"/>
                <w:lang w:eastAsia="hu-HU"/>
              </w:rPr>
              <w:t>Elektronikus árlejtést fognak alkalmazni</w:t>
            </w:r>
            <w:r w:rsidR="00B17911">
              <w:rPr>
                <w:rFonts w:eastAsia="Times New Roman"/>
                <w:sz w:val="18"/>
                <w:szCs w:val="18"/>
                <w:lang w:eastAsia="hu-HU"/>
              </w:rPr>
              <w:t>: nem</w:t>
            </w:r>
          </w:p>
        </w:tc>
      </w:tr>
    </w:tbl>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IV.2.2) Ajánlattételi határidő</w:t>
            </w:r>
          </w:p>
          <w:p w:rsidR="00F31610" w:rsidRPr="00F31610" w:rsidRDefault="00F31610" w:rsidP="00552C53">
            <w:pPr>
              <w:spacing w:before="120" w:after="120"/>
              <w:jc w:val="left"/>
              <w:rPr>
                <w:rFonts w:eastAsia="Times New Roman"/>
                <w:lang w:eastAsia="hu-HU"/>
              </w:rPr>
            </w:pPr>
            <w:r w:rsidRPr="00F31610">
              <w:rPr>
                <w:rFonts w:eastAsia="Times New Roman"/>
                <w:sz w:val="18"/>
                <w:szCs w:val="18"/>
                <w:lang w:eastAsia="hu-HU"/>
              </w:rPr>
              <w:t>Dátum</w:t>
            </w:r>
            <w:r w:rsidRPr="00471E34">
              <w:rPr>
                <w:rFonts w:eastAsia="Times New Roman"/>
                <w:sz w:val="18"/>
                <w:szCs w:val="18"/>
                <w:lang w:eastAsia="hu-HU"/>
              </w:rPr>
              <w:t xml:space="preserve">: </w:t>
            </w:r>
            <w:r w:rsidR="006F6B22" w:rsidRPr="00552C53">
              <w:rPr>
                <w:rFonts w:eastAsia="Times New Roman"/>
                <w:i/>
                <w:iCs/>
                <w:sz w:val="18"/>
                <w:szCs w:val="18"/>
                <w:lang w:eastAsia="hu-HU"/>
              </w:rPr>
              <w:t>2017/0</w:t>
            </w:r>
            <w:r w:rsidR="00AD62AF" w:rsidRPr="00552C53">
              <w:rPr>
                <w:rFonts w:eastAsia="Times New Roman"/>
                <w:i/>
                <w:iCs/>
                <w:sz w:val="18"/>
                <w:szCs w:val="18"/>
                <w:lang w:eastAsia="hu-HU"/>
              </w:rPr>
              <w:t>3</w:t>
            </w:r>
            <w:r w:rsidR="006F6B22" w:rsidRPr="00552C53">
              <w:rPr>
                <w:rFonts w:eastAsia="Times New Roman"/>
                <w:i/>
                <w:iCs/>
                <w:sz w:val="18"/>
                <w:szCs w:val="18"/>
                <w:lang w:eastAsia="hu-HU"/>
              </w:rPr>
              <w:t>/</w:t>
            </w:r>
            <w:r w:rsidR="00552C53">
              <w:rPr>
                <w:rFonts w:eastAsia="Times New Roman"/>
                <w:i/>
                <w:iCs/>
                <w:sz w:val="18"/>
                <w:szCs w:val="18"/>
                <w:lang w:eastAsia="hu-HU"/>
              </w:rPr>
              <w:t>24</w:t>
            </w:r>
            <w:r w:rsidRPr="006F6B22">
              <w:rPr>
                <w:rFonts w:eastAsia="Times New Roman"/>
                <w:sz w:val="18"/>
                <w:szCs w:val="18"/>
                <w:lang w:eastAsia="hu-HU"/>
              </w:rPr>
              <w:t xml:space="preserve"> Helyi idő: </w:t>
            </w:r>
            <w:r w:rsidR="007602AC" w:rsidRPr="006F6B22">
              <w:rPr>
                <w:rFonts w:eastAsia="Times New Roman"/>
                <w:i/>
                <w:iCs/>
                <w:sz w:val="18"/>
                <w:szCs w:val="18"/>
                <w:lang w:eastAsia="hu-HU"/>
              </w:rPr>
              <w:t>1</w:t>
            </w:r>
            <w:r w:rsidR="00A20F6E" w:rsidRPr="006F6B22">
              <w:rPr>
                <w:rFonts w:eastAsia="Times New Roman"/>
                <w:i/>
                <w:iCs/>
                <w:sz w:val="18"/>
                <w:szCs w:val="18"/>
                <w:lang w:eastAsia="hu-HU"/>
              </w:rPr>
              <w:t>0</w:t>
            </w:r>
            <w:r w:rsidR="007602AC" w:rsidRPr="006F6B22">
              <w:rPr>
                <w:rFonts w:eastAsia="Times New Roman"/>
                <w:i/>
                <w:iCs/>
                <w:sz w:val="18"/>
                <w:szCs w:val="18"/>
                <w:lang w:eastAsia="hu-HU"/>
              </w:rPr>
              <w:t>:00</w:t>
            </w:r>
          </w:p>
        </w:tc>
      </w:tr>
      <w:tr w:rsidR="00F31610" w:rsidRPr="00F31610" w:rsidTr="00F31610">
        <w:tc>
          <w:tcPr>
            <w:tcW w:w="0" w:type="auto"/>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IV.2.4) Azok a nyelvek, amelyeken az ajánlatok vagy részvét</w:t>
            </w:r>
            <w:r w:rsidR="00B17911">
              <w:rPr>
                <w:rFonts w:eastAsia="Times New Roman"/>
                <w:b/>
                <w:bCs/>
                <w:sz w:val="18"/>
                <w:szCs w:val="18"/>
                <w:lang w:eastAsia="hu-HU"/>
              </w:rPr>
              <w:t>eli jelentkezések benyújthatók:</w:t>
            </w:r>
          </w:p>
          <w:p w:rsidR="00B17911" w:rsidRPr="00B17911" w:rsidRDefault="00B17911" w:rsidP="00B17911">
            <w:pPr>
              <w:spacing w:before="120" w:after="120"/>
              <w:ind w:left="65"/>
              <w:jc w:val="left"/>
              <w:rPr>
                <w:rFonts w:eastAsia="Times New Roman"/>
                <w:lang w:eastAsia="hu-HU"/>
              </w:rPr>
            </w:pPr>
            <w:r w:rsidRPr="00B17911">
              <w:rPr>
                <w:rFonts w:eastAsia="Times New Roman"/>
                <w:bCs/>
                <w:sz w:val="18"/>
                <w:szCs w:val="18"/>
                <w:lang w:eastAsia="hu-HU"/>
              </w:rPr>
              <w:lastRenderedPageBreak/>
              <w:t>magyar</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lastRenderedPageBreak/>
              <w:t>IV.2.5) Az ajánlati kötöttség minimális időtartama:</w:t>
            </w:r>
            <w:r w:rsidRPr="00F31610">
              <w:rPr>
                <w:rFonts w:eastAsia="Times New Roman"/>
                <w:sz w:val="18"/>
                <w:szCs w:val="18"/>
                <w:lang w:eastAsia="hu-HU"/>
              </w:rPr>
              <w:t xml:space="preserve"> </w:t>
            </w:r>
          </w:p>
          <w:p w:rsidR="00F31610" w:rsidRPr="00F31610" w:rsidRDefault="00F31610" w:rsidP="00B17911">
            <w:pPr>
              <w:spacing w:before="120" w:after="120"/>
              <w:ind w:left="207"/>
              <w:jc w:val="left"/>
              <w:rPr>
                <w:rFonts w:eastAsia="Times New Roman"/>
                <w:lang w:eastAsia="hu-HU"/>
              </w:rPr>
            </w:pPr>
            <w:r w:rsidRPr="00F31610">
              <w:rPr>
                <w:rFonts w:eastAsia="Times New Roman"/>
                <w:sz w:val="18"/>
                <w:szCs w:val="18"/>
                <w:lang w:eastAsia="hu-HU"/>
              </w:rPr>
              <w:t xml:space="preserve">Az időtartam napban: </w:t>
            </w:r>
            <w:r w:rsidR="00B17911">
              <w:rPr>
                <w:rFonts w:eastAsia="Times New Roman"/>
                <w:sz w:val="18"/>
                <w:szCs w:val="18"/>
                <w:lang w:eastAsia="hu-HU"/>
              </w:rPr>
              <w:t>60</w:t>
            </w:r>
            <w:r w:rsidRPr="00F31610">
              <w:rPr>
                <w:rFonts w:eastAsia="Times New Roman"/>
                <w:sz w:val="18"/>
                <w:szCs w:val="18"/>
                <w:lang w:eastAsia="hu-HU"/>
              </w:rPr>
              <w:t xml:space="preserve"> </w:t>
            </w:r>
            <w:r w:rsidRPr="00F31610">
              <w:rPr>
                <w:rFonts w:eastAsia="Times New Roman"/>
                <w:i/>
                <w:iCs/>
                <w:sz w:val="18"/>
                <w:szCs w:val="18"/>
                <w:lang w:eastAsia="hu-HU"/>
              </w:rPr>
              <w:t>(az ajánlattételi határidő lejártától számítva)</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 xml:space="preserve">IV.2.6) Az ajánlatok </w:t>
            </w:r>
            <w:r w:rsidR="00B17911">
              <w:rPr>
                <w:rFonts w:eastAsia="Times New Roman"/>
                <w:b/>
                <w:bCs/>
                <w:sz w:val="18"/>
                <w:szCs w:val="18"/>
                <w:lang w:eastAsia="hu-HU"/>
              </w:rPr>
              <w:t>f</w:t>
            </w:r>
            <w:r w:rsidRPr="00F31610">
              <w:rPr>
                <w:rFonts w:eastAsia="Times New Roman"/>
                <w:b/>
                <w:bCs/>
                <w:sz w:val="18"/>
                <w:szCs w:val="18"/>
                <w:lang w:eastAsia="hu-HU"/>
              </w:rPr>
              <w:t>elbontásának feltételei</w:t>
            </w:r>
          </w:p>
          <w:p w:rsidR="00B17911" w:rsidRDefault="00471E34" w:rsidP="00B17911">
            <w:pPr>
              <w:spacing w:before="120" w:after="120"/>
              <w:ind w:left="65"/>
              <w:jc w:val="left"/>
              <w:rPr>
                <w:rFonts w:eastAsia="Times New Roman"/>
                <w:i/>
                <w:iCs/>
                <w:sz w:val="18"/>
                <w:szCs w:val="18"/>
                <w:lang w:eastAsia="hu-HU"/>
              </w:rPr>
            </w:pPr>
            <w:r w:rsidRPr="00F31610">
              <w:rPr>
                <w:rFonts w:eastAsia="Times New Roman"/>
                <w:sz w:val="18"/>
                <w:szCs w:val="18"/>
                <w:lang w:eastAsia="hu-HU"/>
              </w:rPr>
              <w:t>Dátum</w:t>
            </w:r>
            <w:r w:rsidRPr="00471E34">
              <w:rPr>
                <w:rFonts w:eastAsia="Times New Roman"/>
                <w:sz w:val="18"/>
                <w:szCs w:val="18"/>
                <w:lang w:eastAsia="hu-HU"/>
              </w:rPr>
              <w:t xml:space="preserve">: </w:t>
            </w:r>
            <w:r w:rsidR="006F6B22" w:rsidRPr="006F6B22">
              <w:rPr>
                <w:rFonts w:eastAsia="Times New Roman"/>
                <w:i/>
                <w:iCs/>
                <w:sz w:val="18"/>
                <w:szCs w:val="18"/>
                <w:lang w:eastAsia="hu-HU"/>
              </w:rPr>
              <w:t>2017/0</w:t>
            </w:r>
            <w:r w:rsidR="00AD62AF">
              <w:rPr>
                <w:rFonts w:eastAsia="Times New Roman"/>
                <w:i/>
                <w:iCs/>
                <w:sz w:val="18"/>
                <w:szCs w:val="18"/>
                <w:lang w:eastAsia="hu-HU"/>
              </w:rPr>
              <w:t>3</w:t>
            </w:r>
            <w:r w:rsidR="006F6B22" w:rsidRPr="006F6B22">
              <w:rPr>
                <w:rFonts w:eastAsia="Times New Roman"/>
                <w:i/>
                <w:iCs/>
                <w:sz w:val="18"/>
                <w:szCs w:val="18"/>
                <w:lang w:eastAsia="hu-HU"/>
              </w:rPr>
              <w:t>/</w:t>
            </w:r>
            <w:r w:rsidR="00552C53">
              <w:rPr>
                <w:rFonts w:eastAsia="Times New Roman"/>
                <w:i/>
                <w:iCs/>
                <w:sz w:val="18"/>
                <w:szCs w:val="18"/>
                <w:lang w:eastAsia="hu-HU"/>
              </w:rPr>
              <w:t>24</w:t>
            </w:r>
            <w:r w:rsidRPr="006F6B22">
              <w:rPr>
                <w:rFonts w:eastAsia="Times New Roman"/>
                <w:sz w:val="18"/>
                <w:szCs w:val="18"/>
                <w:lang w:eastAsia="hu-HU"/>
              </w:rPr>
              <w:t xml:space="preserve"> Helyi idő: </w:t>
            </w:r>
            <w:r w:rsidRPr="006F6B22">
              <w:rPr>
                <w:rFonts w:eastAsia="Times New Roman"/>
                <w:i/>
                <w:iCs/>
                <w:sz w:val="18"/>
                <w:szCs w:val="18"/>
                <w:lang w:eastAsia="hu-HU"/>
              </w:rPr>
              <w:t>1</w:t>
            </w:r>
            <w:r w:rsidR="00A20F6E" w:rsidRPr="006F6B22">
              <w:rPr>
                <w:rFonts w:eastAsia="Times New Roman"/>
                <w:i/>
                <w:iCs/>
                <w:sz w:val="18"/>
                <w:szCs w:val="18"/>
                <w:lang w:eastAsia="hu-HU"/>
              </w:rPr>
              <w:t>0</w:t>
            </w:r>
            <w:r w:rsidRPr="006F6B22">
              <w:rPr>
                <w:rFonts w:eastAsia="Times New Roman"/>
                <w:i/>
                <w:iCs/>
                <w:sz w:val="18"/>
                <w:szCs w:val="18"/>
                <w:lang w:eastAsia="hu-HU"/>
              </w:rPr>
              <w:t>:00</w:t>
            </w:r>
          </w:p>
          <w:p w:rsidR="00F31610" w:rsidRPr="00F31610" w:rsidRDefault="00F31610" w:rsidP="00B17911">
            <w:pPr>
              <w:spacing w:before="120" w:after="120"/>
              <w:ind w:left="65"/>
              <w:jc w:val="left"/>
              <w:rPr>
                <w:rFonts w:eastAsia="Times New Roman"/>
                <w:lang w:eastAsia="hu-HU"/>
              </w:rPr>
            </w:pPr>
            <w:r w:rsidRPr="00F31610">
              <w:rPr>
                <w:rFonts w:eastAsia="Times New Roman"/>
                <w:sz w:val="18"/>
                <w:szCs w:val="18"/>
                <w:lang w:eastAsia="hu-HU"/>
              </w:rPr>
              <w:t>Hely:</w:t>
            </w:r>
            <w:r w:rsidR="007602AC">
              <w:rPr>
                <w:rFonts w:eastAsia="Times New Roman"/>
                <w:sz w:val="18"/>
                <w:szCs w:val="18"/>
                <w:lang w:eastAsia="hu-HU"/>
              </w:rPr>
              <w:t xml:space="preserve"> </w:t>
            </w:r>
            <w:r w:rsidR="00552C53" w:rsidRPr="00473BBC">
              <w:rPr>
                <w:rFonts w:eastAsia="Times New Roman"/>
                <w:sz w:val="18"/>
                <w:szCs w:val="18"/>
                <w:lang w:eastAsia="hu-HU"/>
              </w:rPr>
              <w:t>Péteri Közös Önkormányzati Hivatal</w:t>
            </w:r>
            <w:r w:rsidR="00552C53" w:rsidRPr="00685D30">
              <w:rPr>
                <w:rFonts w:eastAsia="Times New Roman"/>
                <w:sz w:val="18"/>
                <w:szCs w:val="18"/>
                <w:lang w:eastAsia="hu-HU"/>
              </w:rPr>
              <w:t>, (2</w:t>
            </w:r>
            <w:r w:rsidR="00552C53">
              <w:rPr>
                <w:rFonts w:eastAsia="Times New Roman"/>
                <w:sz w:val="18"/>
                <w:szCs w:val="18"/>
                <w:lang w:eastAsia="hu-HU"/>
              </w:rPr>
              <w:t>209</w:t>
            </w:r>
            <w:r w:rsidR="00552C53" w:rsidRPr="00685D30">
              <w:rPr>
                <w:rFonts w:eastAsia="Times New Roman"/>
                <w:sz w:val="18"/>
                <w:szCs w:val="18"/>
                <w:lang w:eastAsia="hu-HU"/>
              </w:rPr>
              <w:t xml:space="preserve"> </w:t>
            </w:r>
            <w:r w:rsidR="00552C53">
              <w:rPr>
                <w:rFonts w:eastAsia="Times New Roman"/>
                <w:sz w:val="18"/>
                <w:szCs w:val="18"/>
                <w:lang w:eastAsia="hu-HU"/>
              </w:rPr>
              <w:t>Péteri</w:t>
            </w:r>
            <w:r w:rsidR="00552C53" w:rsidRPr="00685D30">
              <w:rPr>
                <w:rFonts w:eastAsia="Times New Roman"/>
                <w:sz w:val="18"/>
                <w:szCs w:val="18"/>
                <w:lang w:eastAsia="hu-HU"/>
              </w:rPr>
              <w:t xml:space="preserve">, Kossuth Lajos utca </w:t>
            </w:r>
            <w:r w:rsidR="00552C53">
              <w:rPr>
                <w:rFonts w:eastAsia="Times New Roman"/>
                <w:sz w:val="18"/>
                <w:szCs w:val="18"/>
                <w:lang w:eastAsia="hu-HU"/>
              </w:rPr>
              <w:t>2</w:t>
            </w:r>
            <w:r w:rsidR="00552C53" w:rsidRPr="00685D30">
              <w:rPr>
                <w:rFonts w:eastAsia="Times New Roman"/>
                <w:sz w:val="18"/>
                <w:szCs w:val="18"/>
                <w:lang w:eastAsia="hu-HU"/>
              </w:rPr>
              <w:t>.)</w:t>
            </w:r>
          </w:p>
          <w:p w:rsidR="00F31610" w:rsidRPr="00F31610" w:rsidRDefault="00F31610" w:rsidP="00B17911">
            <w:pPr>
              <w:spacing w:before="120" w:after="120"/>
              <w:ind w:left="65"/>
              <w:jc w:val="left"/>
              <w:rPr>
                <w:rFonts w:eastAsia="Times New Roman"/>
                <w:lang w:eastAsia="hu-HU"/>
              </w:rPr>
            </w:pPr>
            <w:r w:rsidRPr="00F31610">
              <w:rPr>
                <w:rFonts w:eastAsia="Times New Roman"/>
                <w:sz w:val="18"/>
                <w:szCs w:val="18"/>
                <w:lang w:eastAsia="hu-HU"/>
              </w:rPr>
              <w:t>Információk a jogosultakról és a bontási eljárásról:</w:t>
            </w:r>
            <w:r w:rsidR="00B17911">
              <w:rPr>
                <w:rFonts w:eastAsia="Times New Roman"/>
                <w:sz w:val="18"/>
                <w:szCs w:val="18"/>
                <w:lang w:eastAsia="hu-HU"/>
              </w:rPr>
              <w:t xml:space="preserve"> </w:t>
            </w:r>
            <w:r w:rsidR="00B17911" w:rsidRPr="00685D30">
              <w:rPr>
                <w:rFonts w:eastAsia="Times New Roman"/>
                <w:sz w:val="18"/>
                <w:szCs w:val="18"/>
                <w:lang w:eastAsia="hu-HU"/>
              </w:rPr>
              <w:t>Az ajánlatok felbontásán a Kbt. 68. §</w:t>
            </w:r>
            <w:proofErr w:type="spellStart"/>
            <w:r w:rsidR="00B17911" w:rsidRPr="00685D30">
              <w:rPr>
                <w:rFonts w:eastAsia="Times New Roman"/>
                <w:sz w:val="18"/>
                <w:szCs w:val="18"/>
                <w:lang w:eastAsia="hu-HU"/>
              </w:rPr>
              <w:t>-ában</w:t>
            </w:r>
            <w:proofErr w:type="spellEnd"/>
            <w:r w:rsidR="00B17911" w:rsidRPr="00685D30">
              <w:rPr>
                <w:rFonts w:eastAsia="Times New Roman"/>
                <w:sz w:val="18"/>
                <w:szCs w:val="18"/>
                <w:lang w:eastAsia="hu-HU"/>
              </w:rPr>
              <w:t xml:space="preserve"> meghatározott személyek lehetnek jelen</w:t>
            </w:r>
            <w:r w:rsidR="00B17911">
              <w:rPr>
                <w:rFonts w:eastAsia="Times New Roman"/>
                <w:sz w:val="18"/>
                <w:szCs w:val="18"/>
                <w:lang w:eastAsia="hu-HU"/>
              </w:rPr>
              <w:t>.</w:t>
            </w:r>
          </w:p>
        </w:tc>
      </w:tr>
    </w:tbl>
    <w:p w:rsidR="00F31610" w:rsidRPr="00F31610" w:rsidRDefault="00F31610" w:rsidP="0042537D">
      <w:pPr>
        <w:spacing w:before="120" w:after="120"/>
        <w:jc w:val="left"/>
        <w:rPr>
          <w:rFonts w:eastAsia="Times New Roman"/>
          <w:lang w:eastAsia="hu-HU"/>
        </w:rPr>
      </w:pPr>
      <w:r w:rsidRPr="00F31610">
        <w:rPr>
          <w:rFonts w:eastAsia="Times New Roman"/>
          <w:b/>
          <w:bCs/>
          <w:sz w:val="28"/>
          <w:szCs w:val="28"/>
          <w:lang w:eastAsia="hu-HU"/>
        </w:rPr>
        <w:t>VI. szakasz: Kiegészítő információk</w:t>
      </w:r>
    </w:p>
    <w:p w:rsidR="00F31610" w:rsidRPr="00F31610" w:rsidRDefault="00F31610" w:rsidP="0042537D">
      <w:pPr>
        <w:spacing w:before="120" w:after="120"/>
        <w:jc w:val="left"/>
        <w:rPr>
          <w:rFonts w:eastAsia="Times New Roman"/>
          <w:lang w:eastAsia="hu-HU"/>
        </w:rPr>
      </w:pPr>
      <w:r w:rsidRPr="00F31610">
        <w:rPr>
          <w:rFonts w:eastAsia="Times New Roman"/>
          <w:b/>
          <w:bCs/>
          <w:lang w:eastAsia="hu-HU"/>
        </w:rPr>
        <w:t xml:space="preserve">VI.1) </w:t>
      </w:r>
      <w:proofErr w:type="gramStart"/>
      <w:r w:rsidRPr="00F31610">
        <w:rPr>
          <w:rFonts w:eastAsia="Times New Roman"/>
          <w:b/>
          <w:bCs/>
          <w:lang w:eastAsia="hu-HU"/>
        </w:rPr>
        <w:t>A</w:t>
      </w:r>
      <w:proofErr w:type="gramEnd"/>
      <w:r w:rsidRPr="00F31610">
        <w:rPr>
          <w:rFonts w:eastAsia="Times New Roman"/>
          <w:b/>
          <w:bCs/>
          <w:lang w:eastAsia="hu-HU"/>
        </w:rPr>
        <w:t xml:space="preserve"> közbeszerzés ismétlődő jellegére vonatkozó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sz w:val="18"/>
                <w:szCs w:val="18"/>
                <w:lang w:eastAsia="hu-HU"/>
              </w:rPr>
              <w:t>A közbeszerzés ismétlődő jellegű</w:t>
            </w:r>
            <w:r w:rsidR="00B17911">
              <w:rPr>
                <w:rFonts w:eastAsia="Times New Roman"/>
                <w:sz w:val="18"/>
                <w:szCs w:val="18"/>
                <w:lang w:eastAsia="hu-HU"/>
              </w:rPr>
              <w:t xml:space="preserve">: </w:t>
            </w:r>
            <w:r w:rsidRPr="00F31610">
              <w:rPr>
                <w:rFonts w:eastAsia="Times New Roman"/>
                <w:sz w:val="18"/>
                <w:szCs w:val="18"/>
                <w:lang w:eastAsia="hu-HU"/>
              </w:rPr>
              <w:t>nem</w:t>
            </w:r>
          </w:p>
        </w:tc>
      </w:tr>
    </w:tbl>
    <w:p w:rsidR="00F31610" w:rsidRPr="00F31610" w:rsidRDefault="00B17911" w:rsidP="0042537D">
      <w:pPr>
        <w:spacing w:before="120" w:after="120"/>
        <w:jc w:val="left"/>
        <w:rPr>
          <w:rFonts w:eastAsia="Times New Roman"/>
          <w:lang w:eastAsia="hu-HU"/>
        </w:rPr>
      </w:pPr>
      <w:r>
        <w:rPr>
          <w:rFonts w:eastAsia="Times New Roman"/>
          <w:b/>
          <w:bCs/>
          <w:lang w:eastAsia="hu-HU"/>
        </w:rPr>
        <w:t>VI.3) További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VI.3.2) Az ajánlati biztosíték</w:t>
            </w:r>
            <w:r w:rsidRPr="00F31610">
              <w:rPr>
                <w:rFonts w:eastAsia="Times New Roman"/>
                <w:sz w:val="18"/>
                <w:szCs w:val="18"/>
                <w:lang w:eastAsia="hu-HU"/>
              </w:rPr>
              <w:t xml:space="preserve"> </w:t>
            </w:r>
            <w:r w:rsidRPr="00F31610">
              <w:rPr>
                <w:rFonts w:eastAsia="Times New Roman"/>
                <w:i/>
                <w:iCs/>
                <w:sz w:val="18"/>
                <w:szCs w:val="18"/>
                <w:lang w:eastAsia="hu-HU"/>
              </w:rPr>
              <w:t>(ajánlati felhívás esetében)</w:t>
            </w:r>
          </w:p>
          <w:p w:rsidR="00F31610" w:rsidRPr="00F31610" w:rsidRDefault="00F31610" w:rsidP="00DC3C9A">
            <w:pPr>
              <w:spacing w:before="120" w:after="120"/>
              <w:ind w:left="65"/>
              <w:jc w:val="left"/>
              <w:rPr>
                <w:rFonts w:eastAsia="Times New Roman"/>
                <w:lang w:eastAsia="hu-HU"/>
              </w:rPr>
            </w:pPr>
            <w:r w:rsidRPr="00F31610">
              <w:rPr>
                <w:rFonts w:eastAsia="Times New Roman"/>
                <w:sz w:val="18"/>
                <w:szCs w:val="18"/>
                <w:lang w:eastAsia="hu-HU"/>
              </w:rPr>
              <w:t>Az eljárásban való részvétel ajánlati biztosíték adásához</w:t>
            </w:r>
            <w:r w:rsidR="00DC3C9A">
              <w:rPr>
                <w:rFonts w:eastAsia="Times New Roman"/>
                <w:sz w:val="18"/>
                <w:szCs w:val="18"/>
                <w:lang w:eastAsia="hu-HU"/>
              </w:rPr>
              <w:t xml:space="preserve"> nem </w:t>
            </w:r>
            <w:r w:rsidRPr="00F31610">
              <w:rPr>
                <w:rFonts w:eastAsia="Times New Roman"/>
                <w:sz w:val="18"/>
                <w:szCs w:val="18"/>
                <w:lang w:eastAsia="hu-HU"/>
              </w:rPr>
              <w:t>kötött.</w:t>
            </w:r>
          </w:p>
        </w:tc>
      </w:tr>
      <w:tr w:rsidR="00F31610" w:rsidRPr="00F31610" w:rsidTr="00F31610">
        <w:tc>
          <w:tcPr>
            <w:tcW w:w="0" w:type="auto"/>
            <w:hideMark/>
          </w:tcPr>
          <w:p w:rsidR="00F31610" w:rsidRPr="00F31610" w:rsidRDefault="00F31610" w:rsidP="0042537D">
            <w:pPr>
              <w:spacing w:before="120" w:after="120"/>
              <w:jc w:val="left"/>
              <w:rPr>
                <w:rFonts w:eastAsia="Times New Roman"/>
                <w:lang w:eastAsia="hu-HU"/>
              </w:rPr>
            </w:pPr>
            <w:r w:rsidRPr="00F31610">
              <w:rPr>
                <w:rFonts w:eastAsia="Times New Roman"/>
                <w:b/>
                <w:bCs/>
                <w:sz w:val="18"/>
                <w:szCs w:val="18"/>
                <w:lang w:eastAsia="hu-HU"/>
              </w:rPr>
              <w:t>VI.3.4) Alvállalkozók igénybevétele</w:t>
            </w:r>
          </w:p>
          <w:p w:rsidR="00F31610" w:rsidRPr="00F31610" w:rsidRDefault="00F31610" w:rsidP="00DC3C9A">
            <w:pPr>
              <w:spacing w:before="120" w:after="120"/>
              <w:ind w:left="65" w:right="61"/>
              <w:rPr>
                <w:rFonts w:eastAsia="Times New Roman"/>
                <w:lang w:eastAsia="hu-HU"/>
              </w:rPr>
            </w:pPr>
            <w:r w:rsidRPr="00F31610">
              <w:rPr>
                <w:rFonts w:eastAsia="Times New Roman"/>
                <w:sz w:val="18"/>
                <w:szCs w:val="18"/>
                <w:lang w:eastAsia="hu-HU"/>
              </w:rPr>
              <w:t xml:space="preserve">Ajánlatkérő előírja, hogy az ajánlatban meg kell jelölni a közbeszerzésnek azt (azokat) a részét (részeit), amelynek teljesítéséhez az ajánlattevő alvállalkozót kíván igénybe venni, az </w:t>
            </w:r>
            <w:proofErr w:type="gramStart"/>
            <w:r w:rsidRPr="00F31610">
              <w:rPr>
                <w:rFonts w:eastAsia="Times New Roman"/>
                <w:sz w:val="18"/>
                <w:szCs w:val="18"/>
                <w:lang w:eastAsia="hu-HU"/>
              </w:rPr>
              <w:t>ezen</w:t>
            </w:r>
            <w:proofErr w:type="gramEnd"/>
            <w:r w:rsidRPr="00F31610">
              <w:rPr>
                <w:rFonts w:eastAsia="Times New Roman"/>
                <w:sz w:val="18"/>
                <w:szCs w:val="18"/>
                <w:lang w:eastAsia="hu-HU"/>
              </w:rPr>
              <w:t xml:space="preserve"> részek tekintetében igénybe venni kívánt és az ajánlat benyújtásakor már ismert alvállalkozókat.</w:t>
            </w:r>
          </w:p>
        </w:tc>
      </w:tr>
      <w:tr w:rsidR="00F31610" w:rsidRPr="00F31610" w:rsidTr="00F31610">
        <w:tc>
          <w:tcPr>
            <w:tcW w:w="0" w:type="auto"/>
            <w:hideMark/>
          </w:tcPr>
          <w:p w:rsidR="00F31610" w:rsidRDefault="00F31610" w:rsidP="0042537D">
            <w:pPr>
              <w:spacing w:before="120" w:after="120"/>
              <w:jc w:val="left"/>
              <w:rPr>
                <w:rFonts w:eastAsia="Times New Roman"/>
                <w:sz w:val="18"/>
                <w:szCs w:val="18"/>
                <w:lang w:eastAsia="hu-HU"/>
              </w:rPr>
            </w:pPr>
            <w:r w:rsidRPr="00F31610">
              <w:rPr>
                <w:rFonts w:eastAsia="Times New Roman"/>
                <w:b/>
                <w:bCs/>
                <w:sz w:val="18"/>
                <w:szCs w:val="18"/>
                <w:lang w:eastAsia="hu-HU"/>
              </w:rPr>
              <w:t>VI.3.8) Az ajánlatok értékelési szempontok szerinti tartalmi elemeinek értékelése során adható pontszám:</w:t>
            </w:r>
          </w:p>
          <w:p w:rsidR="00DC3C9A" w:rsidRPr="00F31610" w:rsidRDefault="00DC3C9A" w:rsidP="00DC3C9A">
            <w:pPr>
              <w:spacing w:before="120" w:after="120"/>
              <w:ind w:left="65"/>
              <w:jc w:val="left"/>
              <w:rPr>
                <w:rFonts w:eastAsia="Times New Roman"/>
                <w:lang w:eastAsia="hu-HU"/>
              </w:rPr>
            </w:pPr>
            <w:r>
              <w:rPr>
                <w:rFonts w:eastAsia="Times New Roman"/>
                <w:sz w:val="18"/>
                <w:szCs w:val="18"/>
                <w:lang w:eastAsia="hu-HU"/>
              </w:rPr>
              <w:t>1 – 100 egész pont</w:t>
            </w:r>
          </w:p>
        </w:tc>
      </w:tr>
      <w:tr w:rsidR="00F31610" w:rsidRPr="00F31610" w:rsidTr="00F31610">
        <w:tc>
          <w:tcPr>
            <w:tcW w:w="0" w:type="auto"/>
            <w:hideMark/>
          </w:tcPr>
          <w:p w:rsidR="00F31610" w:rsidRDefault="00F31610" w:rsidP="0042537D">
            <w:pPr>
              <w:spacing w:before="120" w:after="120"/>
              <w:jc w:val="left"/>
              <w:rPr>
                <w:rFonts w:eastAsia="Times New Roman"/>
                <w:b/>
                <w:bCs/>
                <w:sz w:val="18"/>
                <w:szCs w:val="18"/>
                <w:lang w:eastAsia="hu-HU"/>
              </w:rPr>
            </w:pPr>
            <w:r w:rsidRPr="00F31610">
              <w:rPr>
                <w:rFonts w:eastAsia="Times New Roman"/>
                <w:b/>
                <w:bCs/>
                <w:sz w:val="18"/>
                <w:szCs w:val="18"/>
                <w:lang w:eastAsia="hu-HU"/>
              </w:rPr>
              <w:t xml:space="preserve">VI.3.9) </w:t>
            </w:r>
            <w:proofErr w:type="gramStart"/>
            <w:r w:rsidRPr="00F31610">
              <w:rPr>
                <w:rFonts w:eastAsia="Times New Roman"/>
                <w:b/>
                <w:bCs/>
                <w:sz w:val="18"/>
                <w:szCs w:val="18"/>
                <w:lang w:eastAsia="hu-HU"/>
              </w:rPr>
              <w:t>A</w:t>
            </w:r>
            <w:proofErr w:type="gramEnd"/>
            <w:r w:rsidRPr="00F31610">
              <w:rPr>
                <w:rFonts w:eastAsia="Times New Roman"/>
                <w:b/>
                <w:bCs/>
                <w:sz w:val="18"/>
                <w:szCs w:val="18"/>
                <w:lang w:eastAsia="hu-HU"/>
              </w:rPr>
              <w:t xml:space="preserve"> módszer(</w:t>
            </w:r>
            <w:proofErr w:type="spellStart"/>
            <w:r w:rsidRPr="00F31610">
              <w:rPr>
                <w:rFonts w:eastAsia="Times New Roman"/>
                <w:b/>
                <w:bCs/>
                <w:sz w:val="18"/>
                <w:szCs w:val="18"/>
                <w:lang w:eastAsia="hu-HU"/>
              </w:rPr>
              <w:t>ek</w:t>
            </w:r>
            <w:proofErr w:type="spellEnd"/>
            <w:r w:rsidRPr="00F31610">
              <w:rPr>
                <w:rFonts w:eastAsia="Times New Roman"/>
                <w:b/>
                <w:bCs/>
                <w:sz w:val="18"/>
                <w:szCs w:val="18"/>
                <w:lang w:eastAsia="hu-HU"/>
              </w:rPr>
              <w:t>) meghatározása, amellyel a VI.3.8) pont szerinti ponthatárok közö</w:t>
            </w:r>
            <w:r w:rsidR="00DC3C9A">
              <w:rPr>
                <w:rFonts w:eastAsia="Times New Roman"/>
                <w:b/>
                <w:bCs/>
                <w:sz w:val="18"/>
                <w:szCs w:val="18"/>
                <w:lang w:eastAsia="hu-HU"/>
              </w:rPr>
              <w:t>tti pontszámot megadásra kerül:</w:t>
            </w:r>
          </w:p>
          <w:p w:rsidR="00DC3C9A" w:rsidRDefault="00DC3C9A" w:rsidP="00DC3C9A">
            <w:pPr>
              <w:spacing w:before="120" w:after="120"/>
              <w:ind w:left="65"/>
              <w:jc w:val="left"/>
              <w:rPr>
                <w:rFonts w:eastAsia="Times New Roman"/>
                <w:sz w:val="18"/>
                <w:lang w:eastAsia="hu-HU"/>
              </w:rPr>
            </w:pPr>
            <w:r>
              <w:rPr>
                <w:rFonts w:eastAsia="Times New Roman"/>
                <w:sz w:val="18"/>
                <w:lang w:eastAsia="hu-HU"/>
              </w:rPr>
              <w:t>J</w:t>
            </w:r>
            <w:r w:rsidRPr="007A19CB">
              <w:rPr>
                <w:rFonts w:eastAsia="Times New Roman"/>
                <w:sz w:val="18"/>
                <w:lang w:eastAsia="hu-HU"/>
              </w:rPr>
              <w:t xml:space="preserve">ótállás vállalt </w:t>
            </w:r>
            <w:r>
              <w:rPr>
                <w:rFonts w:eastAsia="Times New Roman"/>
                <w:sz w:val="18"/>
                <w:lang w:eastAsia="hu-HU"/>
              </w:rPr>
              <w:t>időtartama: egyenes arányosítás</w:t>
            </w:r>
          </w:p>
          <w:p w:rsidR="00DC3C9A" w:rsidRDefault="00552C53" w:rsidP="00DC3C9A">
            <w:pPr>
              <w:spacing w:before="120" w:after="120"/>
              <w:ind w:left="65"/>
              <w:jc w:val="left"/>
              <w:rPr>
                <w:rFonts w:eastAsia="Times New Roman"/>
                <w:sz w:val="18"/>
                <w:lang w:eastAsia="hu-HU"/>
              </w:rPr>
            </w:pPr>
            <w:r>
              <w:rPr>
                <w:rFonts w:eastAsia="Times New Roman"/>
                <w:sz w:val="18"/>
                <w:szCs w:val="18"/>
                <w:lang w:eastAsia="hu-HU"/>
              </w:rPr>
              <w:t>Késedelmi kötbér</w:t>
            </w:r>
            <w:r w:rsidR="008817BB">
              <w:rPr>
                <w:rFonts w:eastAsia="Times New Roman"/>
                <w:sz w:val="18"/>
                <w:szCs w:val="18"/>
                <w:lang w:eastAsia="hu-HU"/>
              </w:rPr>
              <w:t xml:space="preserve"> mértéke</w:t>
            </w:r>
            <w:r w:rsidR="00DC3C9A">
              <w:rPr>
                <w:rFonts w:eastAsia="Times New Roman"/>
                <w:sz w:val="18"/>
                <w:szCs w:val="18"/>
                <w:lang w:eastAsia="hu-HU"/>
              </w:rPr>
              <w:t xml:space="preserve">: </w:t>
            </w:r>
            <w:r w:rsidR="00AD62AF">
              <w:rPr>
                <w:rFonts w:eastAsia="Times New Roman"/>
                <w:sz w:val="18"/>
                <w:lang w:eastAsia="hu-HU"/>
              </w:rPr>
              <w:t>egyenes</w:t>
            </w:r>
            <w:r w:rsidR="00DC3C9A">
              <w:rPr>
                <w:rFonts w:eastAsia="Times New Roman"/>
                <w:sz w:val="18"/>
                <w:lang w:eastAsia="hu-HU"/>
              </w:rPr>
              <w:t xml:space="preserve"> arányosítás</w:t>
            </w:r>
          </w:p>
          <w:p w:rsidR="00DC3C9A" w:rsidRPr="00DC3C9A" w:rsidRDefault="00DC3C9A" w:rsidP="00DC3C9A">
            <w:pPr>
              <w:spacing w:before="120" w:after="120"/>
              <w:ind w:left="65"/>
              <w:jc w:val="left"/>
              <w:rPr>
                <w:rFonts w:eastAsia="Times New Roman"/>
                <w:sz w:val="18"/>
                <w:lang w:eastAsia="hu-HU"/>
              </w:rPr>
            </w:pPr>
            <w:r>
              <w:rPr>
                <w:rFonts w:eastAsia="Times New Roman"/>
                <w:sz w:val="18"/>
                <w:lang w:eastAsia="hu-HU"/>
              </w:rPr>
              <w:t>Ajánlati ár: fordított arányosítás</w:t>
            </w:r>
          </w:p>
        </w:tc>
      </w:tr>
      <w:tr w:rsidR="00F31610" w:rsidRPr="00F31610" w:rsidTr="00F31610">
        <w:tc>
          <w:tcPr>
            <w:tcW w:w="0" w:type="auto"/>
            <w:hideMark/>
          </w:tcPr>
          <w:p w:rsidR="00F31610" w:rsidRDefault="00F31610" w:rsidP="0042537D">
            <w:pPr>
              <w:spacing w:before="120" w:after="120"/>
              <w:jc w:val="left"/>
              <w:rPr>
                <w:rFonts w:eastAsia="Times New Roman"/>
                <w:b/>
                <w:bCs/>
                <w:lang w:eastAsia="hu-HU"/>
              </w:rPr>
            </w:pPr>
            <w:r w:rsidRPr="00F31610">
              <w:rPr>
                <w:rFonts w:eastAsia="Times New Roman"/>
                <w:b/>
                <w:bCs/>
                <w:sz w:val="18"/>
                <w:szCs w:val="18"/>
                <w:lang w:eastAsia="hu-HU"/>
              </w:rPr>
              <w:t>VI.3.12</w:t>
            </w:r>
            <w:r w:rsidRPr="00F31610">
              <w:rPr>
                <w:rFonts w:eastAsia="Times New Roman"/>
                <w:b/>
                <w:bCs/>
                <w:lang w:eastAsia="hu-HU"/>
              </w:rPr>
              <w:t xml:space="preserve">) </w:t>
            </w:r>
            <w:r w:rsidRPr="00D32253">
              <w:rPr>
                <w:rFonts w:eastAsia="Times New Roman"/>
                <w:b/>
                <w:bCs/>
                <w:sz w:val="18"/>
                <w:szCs w:val="18"/>
                <w:lang w:eastAsia="hu-HU"/>
              </w:rPr>
              <w:t>További információk</w:t>
            </w:r>
            <w:r w:rsidRPr="00F31610">
              <w:rPr>
                <w:rFonts w:eastAsia="Times New Roman"/>
                <w:b/>
                <w:bCs/>
                <w:lang w:eastAsia="hu-HU"/>
              </w:rPr>
              <w:t>:</w:t>
            </w:r>
          </w:p>
          <w:p w:rsidR="00DC3C9A" w:rsidRPr="007A19CB" w:rsidRDefault="00DC3C9A" w:rsidP="00DC3C9A">
            <w:pPr>
              <w:numPr>
                <w:ilvl w:val="0"/>
                <w:numId w:val="3"/>
              </w:numPr>
              <w:tabs>
                <w:tab w:val="clear" w:pos="720"/>
                <w:tab w:val="num" w:pos="349"/>
              </w:tabs>
              <w:spacing w:after="60"/>
              <w:ind w:left="349" w:right="202" w:hanging="284"/>
              <w:rPr>
                <w:sz w:val="18"/>
                <w:szCs w:val="26"/>
              </w:rPr>
            </w:pPr>
            <w:r w:rsidRPr="007A19CB">
              <w:rPr>
                <w:sz w:val="18"/>
                <w:szCs w:val="26"/>
              </w:rPr>
              <w:t xml:space="preserve">Az ajánlattevőnek az ajánlatában a Kbt. 66. § (6) bekezdés a) – b) pontjai és a </w:t>
            </w:r>
            <w:r w:rsidRPr="007A19CB">
              <w:rPr>
                <w:bCs/>
                <w:sz w:val="18"/>
              </w:rPr>
              <w:t xml:space="preserve">Kbt. 67. § (4) </w:t>
            </w:r>
            <w:r w:rsidRPr="007A19CB">
              <w:rPr>
                <w:bCs/>
                <w:iCs/>
                <w:sz w:val="18"/>
              </w:rPr>
              <w:t xml:space="preserve">bekezdésének </w:t>
            </w:r>
            <w:r w:rsidRPr="007A19CB">
              <w:rPr>
                <w:sz w:val="18"/>
                <w:szCs w:val="26"/>
              </w:rPr>
              <w:t>tekintetében nyilatkoznia kell.</w:t>
            </w:r>
          </w:p>
          <w:p w:rsidR="00DC3C9A" w:rsidRDefault="00DC3C9A" w:rsidP="00DC3C9A">
            <w:pPr>
              <w:numPr>
                <w:ilvl w:val="0"/>
                <w:numId w:val="3"/>
              </w:numPr>
              <w:tabs>
                <w:tab w:val="clear" w:pos="720"/>
                <w:tab w:val="num" w:pos="349"/>
              </w:tabs>
              <w:spacing w:after="60"/>
              <w:ind w:left="349" w:right="202" w:hanging="284"/>
              <w:rPr>
                <w:sz w:val="18"/>
                <w:szCs w:val="26"/>
              </w:rPr>
            </w:pPr>
            <w:r w:rsidRPr="007A19CB">
              <w:rPr>
                <w:sz w:val="18"/>
                <w:szCs w:val="26"/>
              </w:rPr>
              <w:t>Az ajánlattevőnek az ajánlatában a Kbt. 66. § (2) és (4) bekezdése tekintetében nyilatkoznia kell.</w:t>
            </w:r>
          </w:p>
          <w:p w:rsidR="006F6B22" w:rsidRPr="006F6B22" w:rsidRDefault="006F6B22" w:rsidP="00DC3C9A">
            <w:pPr>
              <w:numPr>
                <w:ilvl w:val="0"/>
                <w:numId w:val="3"/>
              </w:numPr>
              <w:tabs>
                <w:tab w:val="clear" w:pos="720"/>
                <w:tab w:val="num" w:pos="349"/>
              </w:tabs>
              <w:spacing w:after="60"/>
              <w:ind w:left="349" w:right="202" w:hanging="284"/>
              <w:rPr>
                <w:sz w:val="18"/>
                <w:szCs w:val="26"/>
              </w:rPr>
            </w:pPr>
            <w:r w:rsidRPr="006F6B22">
              <w:rPr>
                <w:bCs/>
                <w:sz w:val="18"/>
                <w:szCs w:val="26"/>
              </w:rPr>
              <w:t>Ajánlatkérő a közbeszerzési eljárás</w:t>
            </w:r>
            <w:r>
              <w:rPr>
                <w:bCs/>
                <w:sz w:val="18"/>
                <w:szCs w:val="26"/>
              </w:rPr>
              <w:t xml:space="preserve">ban alkalmazza </w:t>
            </w:r>
            <w:r w:rsidRPr="006F6B22">
              <w:rPr>
                <w:bCs/>
                <w:sz w:val="18"/>
                <w:szCs w:val="26"/>
              </w:rPr>
              <w:t xml:space="preserve">a </w:t>
            </w:r>
            <w:r>
              <w:rPr>
                <w:bCs/>
                <w:sz w:val="18"/>
                <w:szCs w:val="26"/>
              </w:rPr>
              <w:t xml:space="preserve">Kbt. </w:t>
            </w:r>
            <w:r w:rsidRPr="006F6B22">
              <w:rPr>
                <w:bCs/>
                <w:sz w:val="18"/>
                <w:szCs w:val="26"/>
              </w:rPr>
              <w:t xml:space="preserve">75. § (2) bekezdés </w:t>
            </w:r>
            <w:r w:rsidRPr="006F6B22">
              <w:rPr>
                <w:bCs/>
                <w:i/>
                <w:iCs/>
                <w:sz w:val="18"/>
                <w:szCs w:val="26"/>
              </w:rPr>
              <w:t xml:space="preserve">e) </w:t>
            </w:r>
            <w:r w:rsidRPr="006F6B22">
              <w:rPr>
                <w:bCs/>
                <w:sz w:val="18"/>
                <w:szCs w:val="26"/>
              </w:rPr>
              <w:t>pontját</w:t>
            </w:r>
            <w:r>
              <w:rPr>
                <w:bCs/>
                <w:sz w:val="18"/>
                <w:szCs w:val="26"/>
              </w:rPr>
              <w:t>, mint az eljárás eredménytelenné nyilvánítására okot adó körülményt.</w:t>
            </w:r>
          </w:p>
          <w:p w:rsidR="00DC3C9A" w:rsidRPr="007A19CB" w:rsidRDefault="00DC3C9A" w:rsidP="00DC3C9A">
            <w:pPr>
              <w:numPr>
                <w:ilvl w:val="0"/>
                <w:numId w:val="3"/>
              </w:numPr>
              <w:tabs>
                <w:tab w:val="clear" w:pos="720"/>
                <w:tab w:val="num" w:pos="349"/>
              </w:tabs>
              <w:spacing w:after="60"/>
              <w:ind w:left="349" w:right="202" w:hanging="284"/>
              <w:rPr>
                <w:sz w:val="18"/>
                <w:szCs w:val="26"/>
              </w:rPr>
            </w:pPr>
            <w:r w:rsidRPr="007A19CB">
              <w:rPr>
                <w:sz w:val="18"/>
                <w:szCs w:val="26"/>
              </w:rPr>
              <w:t>Az ajánlatokat az ajánlattételi dokumentációban meghatározott formai követelmények szerint kell benyújtani, 1 eredeti példányban zárt csomagolásban. A csomagoláson „</w:t>
            </w:r>
            <w:r w:rsidR="00552C53">
              <w:rPr>
                <w:sz w:val="18"/>
                <w:szCs w:val="26"/>
              </w:rPr>
              <w:t>Péteri – Orvosi rendelő</w:t>
            </w:r>
            <w:r w:rsidRPr="007A19CB">
              <w:rPr>
                <w:sz w:val="18"/>
                <w:szCs w:val="26"/>
              </w:rPr>
              <w:t>, az ajánlattételi határidő lejárta előtt felbontani tilos” feliratot kell feltüntetni. A postán feladott ajánlatot az ajánlatkérő csak akkor tekinti határidőn belül benyújtottnak, ha annak a megadott címen történő kézhezvételére az ajánlattételi határidőig sor került. A postázási késedelem kockázatát az ajánlattevő viseli.</w:t>
            </w:r>
          </w:p>
          <w:p w:rsidR="00DC3C9A" w:rsidRPr="007A19CB" w:rsidRDefault="00DC3C9A" w:rsidP="00DC3C9A">
            <w:pPr>
              <w:numPr>
                <w:ilvl w:val="0"/>
                <w:numId w:val="3"/>
              </w:numPr>
              <w:tabs>
                <w:tab w:val="clear" w:pos="720"/>
                <w:tab w:val="num" w:pos="349"/>
              </w:tabs>
              <w:spacing w:after="60"/>
              <w:ind w:left="349" w:right="202" w:hanging="284"/>
              <w:rPr>
                <w:sz w:val="18"/>
                <w:szCs w:val="26"/>
              </w:rPr>
            </w:pPr>
            <w:r w:rsidRPr="007A19CB">
              <w:rPr>
                <w:bCs/>
                <w:sz w:val="18"/>
                <w:szCs w:val="26"/>
              </w:rPr>
              <w:t>Közös ajánlattétel és konzorcium esetén az ajánlathoz csatolni kell a közös ajánlatot tevők egyetemleges felelősségvállalásáról szóló nyilatkozatot, valamint a feladat elvégzésére vonatkozó, a tagok közötti munkamegosztás leírását, részesedésük %-os arányait, és a képviseletre feljogosított cég illetve képviselőjének megnevezését is tartalmazó, egymás közötti megállapodásának egy eredeti, vagy másolati példányát.</w:t>
            </w:r>
          </w:p>
          <w:p w:rsidR="00DC3C9A" w:rsidRPr="007A19CB" w:rsidRDefault="00DC3C9A" w:rsidP="00DC3C9A">
            <w:pPr>
              <w:numPr>
                <w:ilvl w:val="0"/>
                <w:numId w:val="3"/>
              </w:numPr>
              <w:tabs>
                <w:tab w:val="clear" w:pos="720"/>
                <w:tab w:val="num" w:pos="349"/>
              </w:tabs>
              <w:spacing w:after="60"/>
              <w:ind w:left="349" w:right="202" w:hanging="284"/>
              <w:rPr>
                <w:sz w:val="18"/>
                <w:szCs w:val="26"/>
              </w:rPr>
            </w:pPr>
            <w:r w:rsidRPr="007A19CB">
              <w:rPr>
                <w:bCs/>
                <w:sz w:val="18"/>
                <w:szCs w:val="26"/>
              </w:rPr>
              <w:t>Ajánlattevőnek,</w:t>
            </w:r>
            <w:r w:rsidRPr="007A19CB">
              <w:rPr>
                <w:sz w:val="12"/>
                <w:szCs w:val="20"/>
              </w:rPr>
              <w:t xml:space="preserve"> </w:t>
            </w:r>
            <w:r w:rsidRPr="007A19CB">
              <w:rPr>
                <w:bCs/>
                <w:sz w:val="18"/>
                <w:szCs w:val="26"/>
              </w:rPr>
              <w:t>valamint a közös ajánlattevőnek csatolnia kell az ajánlatot aláíró személy eredeti aláírási címpéldányát, aláírás-mintáját, vagy annak másolatát.</w:t>
            </w:r>
          </w:p>
          <w:p w:rsidR="00DC3C9A" w:rsidRPr="007A19CB" w:rsidRDefault="00DC3C9A" w:rsidP="00DC3C9A">
            <w:pPr>
              <w:numPr>
                <w:ilvl w:val="0"/>
                <w:numId w:val="3"/>
              </w:numPr>
              <w:tabs>
                <w:tab w:val="clear" w:pos="720"/>
                <w:tab w:val="num" w:pos="349"/>
              </w:tabs>
              <w:spacing w:after="60"/>
              <w:ind w:left="349" w:right="202" w:hanging="284"/>
              <w:rPr>
                <w:sz w:val="18"/>
                <w:szCs w:val="26"/>
              </w:rPr>
            </w:pPr>
            <w:r w:rsidRPr="007A19CB">
              <w:rPr>
                <w:sz w:val="18"/>
              </w:rPr>
              <w:t>Az ajánlatkérő felhívja az ajánlattevők figyelmét a Kbt. 138. § (1) bekezdésében foglaltakra</w:t>
            </w:r>
            <w:r w:rsidRPr="007A19CB">
              <w:rPr>
                <w:bCs/>
                <w:sz w:val="18"/>
                <w:szCs w:val="26"/>
              </w:rPr>
              <w:t>.</w:t>
            </w:r>
          </w:p>
          <w:p w:rsidR="00DC3C9A" w:rsidRPr="007A19CB" w:rsidRDefault="00DC3C9A" w:rsidP="00DC3C9A">
            <w:pPr>
              <w:numPr>
                <w:ilvl w:val="0"/>
                <w:numId w:val="3"/>
              </w:numPr>
              <w:tabs>
                <w:tab w:val="clear" w:pos="720"/>
                <w:tab w:val="num" w:pos="349"/>
              </w:tabs>
              <w:spacing w:after="60"/>
              <w:ind w:left="349" w:right="202" w:hanging="284"/>
              <w:rPr>
                <w:sz w:val="18"/>
                <w:szCs w:val="26"/>
              </w:rPr>
            </w:pPr>
            <w:r w:rsidRPr="007A19CB">
              <w:rPr>
                <w:sz w:val="18"/>
                <w:szCs w:val="26"/>
              </w:rPr>
              <w:t>Az ajánlathoz csatolandó igazolások tekintetében az ajánlatkérő az egyszerű másolatot elfogadja.</w:t>
            </w:r>
          </w:p>
          <w:p w:rsidR="00DC3C9A" w:rsidRPr="003E4B04" w:rsidRDefault="00DC3C9A" w:rsidP="00DC3C9A">
            <w:pPr>
              <w:numPr>
                <w:ilvl w:val="0"/>
                <w:numId w:val="3"/>
              </w:numPr>
              <w:tabs>
                <w:tab w:val="clear" w:pos="720"/>
                <w:tab w:val="num" w:pos="349"/>
              </w:tabs>
              <w:spacing w:after="60"/>
              <w:ind w:left="349" w:right="202" w:hanging="284"/>
              <w:rPr>
                <w:sz w:val="18"/>
                <w:szCs w:val="26"/>
              </w:rPr>
            </w:pPr>
            <w:r w:rsidRPr="007A19CB">
              <w:rPr>
                <w:bCs/>
                <w:sz w:val="18"/>
                <w:szCs w:val="26"/>
              </w:rPr>
              <w:t>Az ajánlatkérő a Kbt. 71. § szerint biztosítja a hiánypótlás lehetőségét.</w:t>
            </w:r>
          </w:p>
          <w:p w:rsidR="003E4B04" w:rsidRPr="007A19CB" w:rsidRDefault="003E4B04" w:rsidP="00DC3C9A">
            <w:pPr>
              <w:numPr>
                <w:ilvl w:val="0"/>
                <w:numId w:val="3"/>
              </w:numPr>
              <w:tabs>
                <w:tab w:val="clear" w:pos="720"/>
                <w:tab w:val="num" w:pos="349"/>
              </w:tabs>
              <w:spacing w:after="60"/>
              <w:ind w:left="349" w:right="202" w:hanging="284"/>
              <w:rPr>
                <w:sz w:val="18"/>
                <w:szCs w:val="26"/>
              </w:rPr>
            </w:pPr>
            <w:r w:rsidRPr="003E4B04">
              <w:rPr>
                <w:bCs/>
                <w:sz w:val="18"/>
                <w:szCs w:val="26"/>
              </w:rPr>
              <w:t>Az ajánlatkérő előírja, hogy v</w:t>
            </w:r>
            <w:r w:rsidRPr="003E4B04">
              <w:rPr>
                <w:sz w:val="18"/>
                <w:szCs w:val="26"/>
              </w:rPr>
              <w:t>alamennyi a szerződés teljesítése során keletkező, szerzői jogi védelem alá eső alkotáson az ajánlatkérő területi korlátozás nélküli, határozatlan idejű, kizárólagos és harmadik személynek átadható felhasználási jogot szerez, továbbá jogot szerez az alkotás (terv) átdolgozására is</w:t>
            </w:r>
          </w:p>
          <w:p w:rsidR="00DC3C9A" w:rsidRPr="00DC3C9A" w:rsidRDefault="00DC3C9A" w:rsidP="00DC3C9A">
            <w:pPr>
              <w:numPr>
                <w:ilvl w:val="0"/>
                <w:numId w:val="3"/>
              </w:numPr>
              <w:tabs>
                <w:tab w:val="clear" w:pos="720"/>
                <w:tab w:val="num" w:pos="349"/>
              </w:tabs>
              <w:spacing w:after="60"/>
              <w:ind w:left="349" w:right="202" w:hanging="284"/>
              <w:rPr>
                <w:rFonts w:eastAsia="Times New Roman"/>
                <w:lang w:eastAsia="hu-HU"/>
              </w:rPr>
            </w:pPr>
            <w:r w:rsidRPr="007A19CB">
              <w:rPr>
                <w:bCs/>
                <w:sz w:val="18"/>
                <w:szCs w:val="26"/>
              </w:rPr>
              <w:lastRenderedPageBreak/>
              <w:t>Ha az ajánlatkérő a második legkedvezőbbnek minősített ajánlatot tevőt is meghatározza, az eljárás nyertesének visszalépése esetén vele köt szerződést.</w:t>
            </w:r>
          </w:p>
          <w:p w:rsidR="00DC3C9A" w:rsidRPr="00F31610" w:rsidRDefault="00DC3C9A" w:rsidP="00DC3C9A">
            <w:pPr>
              <w:numPr>
                <w:ilvl w:val="0"/>
                <w:numId w:val="3"/>
              </w:numPr>
              <w:tabs>
                <w:tab w:val="clear" w:pos="720"/>
                <w:tab w:val="num" w:pos="349"/>
              </w:tabs>
              <w:spacing w:after="60"/>
              <w:ind w:left="349" w:right="202" w:hanging="284"/>
              <w:rPr>
                <w:rFonts w:eastAsia="Times New Roman"/>
                <w:lang w:eastAsia="hu-HU"/>
              </w:rPr>
            </w:pPr>
            <w:r w:rsidRPr="007A19CB">
              <w:rPr>
                <w:sz w:val="18"/>
                <w:szCs w:val="26"/>
              </w:rPr>
              <w:t>Az ajánlatok összeállításánál a felhívásban és az ajánlatkérő által összeállított dokumentációban és – az ezekben nem szabályozottak vonatkozásában – a 2015. évi CXLIII. törvény előírásaiban foglaltak szerint kell az ajánlattevőnek eljárni, és ajánlatát elkészteni.</w:t>
            </w:r>
          </w:p>
        </w:tc>
      </w:tr>
    </w:tbl>
    <w:p w:rsidR="00F31610" w:rsidRDefault="00F31610" w:rsidP="0042537D">
      <w:pPr>
        <w:spacing w:before="120" w:after="120"/>
        <w:jc w:val="left"/>
        <w:rPr>
          <w:rFonts w:eastAsia="Times New Roman"/>
          <w:i/>
          <w:iCs/>
          <w:lang w:eastAsia="hu-HU"/>
        </w:rPr>
      </w:pPr>
      <w:r w:rsidRPr="00F31610">
        <w:rPr>
          <w:rFonts w:eastAsia="Times New Roman"/>
          <w:b/>
          <w:bCs/>
          <w:lang w:eastAsia="hu-HU"/>
        </w:rPr>
        <w:lastRenderedPageBreak/>
        <w:t xml:space="preserve">VI.4) E hirdetmény </w:t>
      </w:r>
      <w:r w:rsidR="007602AC">
        <w:rPr>
          <w:rFonts w:eastAsia="Times New Roman"/>
          <w:b/>
          <w:bCs/>
          <w:lang w:eastAsia="hu-HU"/>
        </w:rPr>
        <w:t>közvetlen megküldésének</w:t>
      </w:r>
      <w:r w:rsidRPr="00F31610">
        <w:rPr>
          <w:rFonts w:eastAsia="Times New Roman"/>
          <w:b/>
          <w:bCs/>
          <w:lang w:eastAsia="hu-HU"/>
        </w:rPr>
        <w:t xml:space="preserve"> dátuma: </w:t>
      </w:r>
      <w:r w:rsidR="006F6B22">
        <w:rPr>
          <w:rFonts w:eastAsia="Times New Roman"/>
          <w:i/>
          <w:iCs/>
          <w:lang w:eastAsia="hu-HU"/>
        </w:rPr>
        <w:t>2017/0</w:t>
      </w:r>
      <w:r w:rsidR="009C5F2B">
        <w:rPr>
          <w:rFonts w:eastAsia="Times New Roman"/>
          <w:i/>
          <w:iCs/>
          <w:lang w:eastAsia="hu-HU"/>
        </w:rPr>
        <w:t>3</w:t>
      </w:r>
      <w:r w:rsidR="006F6B22">
        <w:rPr>
          <w:rFonts w:eastAsia="Times New Roman"/>
          <w:i/>
          <w:iCs/>
          <w:lang w:eastAsia="hu-HU"/>
        </w:rPr>
        <w:t>/</w:t>
      </w:r>
      <w:r w:rsidR="00552C53">
        <w:rPr>
          <w:rFonts w:eastAsia="Times New Roman"/>
          <w:i/>
          <w:iCs/>
          <w:lang w:eastAsia="hu-HU"/>
        </w:rPr>
        <w:t>10</w:t>
      </w:r>
    </w:p>
    <w:p w:rsidR="004B32F0" w:rsidRDefault="004B32F0" w:rsidP="0042537D">
      <w:pPr>
        <w:spacing w:before="120" w:after="120"/>
        <w:jc w:val="left"/>
        <w:rPr>
          <w:rFonts w:eastAsia="Times New Roman"/>
          <w:i/>
          <w:iCs/>
          <w:lang w:eastAsia="hu-HU"/>
        </w:rPr>
      </w:pPr>
    </w:p>
    <w:p w:rsidR="004B32F0" w:rsidRDefault="004B32F0" w:rsidP="004B32F0">
      <w:pPr>
        <w:spacing w:before="120" w:after="120"/>
        <w:jc w:val="left"/>
        <w:rPr>
          <w:rFonts w:eastAsia="Times New Roman"/>
          <w:sz w:val="20"/>
          <w:lang w:eastAsia="hu-HU"/>
        </w:rPr>
      </w:pPr>
      <w:r>
        <w:rPr>
          <w:rFonts w:eastAsia="Times New Roman"/>
          <w:sz w:val="20"/>
          <w:lang w:eastAsia="hu-HU"/>
        </w:rPr>
        <w:t xml:space="preserve">Az ajánlattételi felhívást </w:t>
      </w:r>
      <w:proofErr w:type="spellStart"/>
      <w:r>
        <w:rPr>
          <w:rFonts w:eastAsia="Times New Roman"/>
          <w:sz w:val="20"/>
          <w:lang w:eastAsia="hu-HU"/>
        </w:rPr>
        <w:t>ellenjegyzi</w:t>
      </w:r>
      <w:proofErr w:type="spellEnd"/>
      <w:r>
        <w:rPr>
          <w:rFonts w:eastAsia="Times New Roman"/>
          <w:sz w:val="20"/>
          <w:lang w:eastAsia="hu-HU"/>
        </w:rPr>
        <w:t>:</w:t>
      </w:r>
    </w:p>
    <w:p w:rsidR="004B32F0" w:rsidRDefault="004B32F0" w:rsidP="004B32F0">
      <w:pPr>
        <w:spacing w:before="120" w:after="120"/>
        <w:jc w:val="left"/>
        <w:rPr>
          <w:rFonts w:eastAsia="Times New Roman"/>
          <w:sz w:val="20"/>
          <w:lang w:eastAsia="hu-HU"/>
        </w:rPr>
      </w:pPr>
    </w:p>
    <w:p w:rsidR="004B32F0" w:rsidRDefault="004B32F0" w:rsidP="004B32F0">
      <w:pPr>
        <w:spacing w:before="120" w:after="120"/>
        <w:jc w:val="left"/>
        <w:rPr>
          <w:rFonts w:eastAsia="Times New Roman"/>
          <w:sz w:val="20"/>
          <w:lang w:eastAsia="hu-HU"/>
        </w:rPr>
      </w:pPr>
    </w:p>
    <w:p w:rsidR="004B32F0" w:rsidRPr="00EA34B2" w:rsidRDefault="004B32F0" w:rsidP="004B32F0">
      <w:pPr>
        <w:jc w:val="center"/>
        <w:rPr>
          <w:rFonts w:eastAsia="Times New Roman"/>
          <w:sz w:val="20"/>
          <w:lang w:eastAsia="hu-HU"/>
        </w:rPr>
      </w:pPr>
      <w:r w:rsidRPr="00EA34B2">
        <w:rPr>
          <w:rFonts w:eastAsia="Times New Roman"/>
          <w:sz w:val="20"/>
          <w:lang w:eastAsia="hu-HU"/>
        </w:rPr>
        <w:t>Kovács Gábor</w:t>
      </w:r>
    </w:p>
    <w:p w:rsidR="004B32F0" w:rsidRPr="00EA34B2" w:rsidRDefault="004B32F0" w:rsidP="004B32F0">
      <w:pPr>
        <w:jc w:val="center"/>
        <w:rPr>
          <w:rFonts w:eastAsia="Times New Roman"/>
          <w:sz w:val="20"/>
          <w:lang w:eastAsia="hu-HU"/>
        </w:rPr>
      </w:pPr>
      <w:proofErr w:type="gramStart"/>
      <w:r w:rsidRPr="00EA34B2">
        <w:rPr>
          <w:rFonts w:eastAsia="Times New Roman"/>
          <w:sz w:val="20"/>
          <w:lang w:eastAsia="hu-HU"/>
        </w:rPr>
        <w:t>felelős</w:t>
      </w:r>
      <w:proofErr w:type="gramEnd"/>
      <w:r w:rsidRPr="00EA34B2">
        <w:rPr>
          <w:rFonts w:eastAsia="Times New Roman"/>
          <w:sz w:val="20"/>
          <w:lang w:eastAsia="hu-HU"/>
        </w:rPr>
        <w:t xml:space="preserve"> akkreditált közbeszerzési szaktanácsadó</w:t>
      </w:r>
    </w:p>
    <w:p w:rsidR="004B32F0" w:rsidRPr="00EA34B2" w:rsidRDefault="004B32F0" w:rsidP="004B32F0">
      <w:pPr>
        <w:jc w:val="center"/>
        <w:rPr>
          <w:rFonts w:eastAsia="Times New Roman"/>
          <w:sz w:val="20"/>
          <w:lang w:eastAsia="hu-HU"/>
        </w:rPr>
      </w:pPr>
      <w:proofErr w:type="gramStart"/>
      <w:r w:rsidRPr="00EA34B2">
        <w:rPr>
          <w:rFonts w:eastAsia="Times New Roman"/>
          <w:sz w:val="20"/>
          <w:lang w:eastAsia="hu-HU"/>
        </w:rPr>
        <w:t>lajstromszám</w:t>
      </w:r>
      <w:proofErr w:type="gramEnd"/>
      <w:r w:rsidRPr="00EA34B2">
        <w:rPr>
          <w:rFonts w:eastAsia="Times New Roman"/>
          <w:sz w:val="20"/>
          <w:lang w:eastAsia="hu-HU"/>
        </w:rPr>
        <w:t>: 00846</w:t>
      </w:r>
    </w:p>
    <w:p w:rsidR="004B32F0" w:rsidRPr="00F31610" w:rsidRDefault="004B32F0" w:rsidP="0042537D">
      <w:pPr>
        <w:spacing w:before="120" w:after="120"/>
        <w:jc w:val="left"/>
        <w:rPr>
          <w:rFonts w:eastAsia="Times New Roman"/>
          <w:lang w:eastAsia="hu-HU"/>
        </w:rPr>
      </w:pPr>
    </w:p>
    <w:sectPr w:rsidR="004B32F0" w:rsidRPr="00F31610" w:rsidSect="007602AC">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C6A"/>
    <w:multiLevelType w:val="hybridMultilevel"/>
    <w:tmpl w:val="4A16B7C0"/>
    <w:lvl w:ilvl="0" w:tplc="62AE10D4">
      <w:start w:val="1"/>
      <w:numFmt w:val="decimal"/>
      <w:lvlText w:val="%1."/>
      <w:lvlJc w:val="left"/>
      <w:pPr>
        <w:ind w:left="540" w:hanging="360"/>
      </w:pPr>
      <w:rPr>
        <w:rFonts w:hint="default"/>
        <w:sz w:val="18"/>
        <w:szCs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F4B5D64"/>
    <w:multiLevelType w:val="hybridMultilevel"/>
    <w:tmpl w:val="06FC2E84"/>
    <w:lvl w:ilvl="0" w:tplc="E56847E4">
      <w:start w:val="1"/>
      <w:numFmt w:val="decimal"/>
      <w:lvlText w:val="%1."/>
      <w:lvlJc w:val="left"/>
      <w:pPr>
        <w:ind w:left="540" w:hanging="360"/>
      </w:pPr>
      <w:rPr>
        <w:rFonts w:hint="default"/>
        <w:sz w:val="18"/>
        <w:szCs w:val="18"/>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
    <w:nsid w:val="17AA06B9"/>
    <w:multiLevelType w:val="hybridMultilevel"/>
    <w:tmpl w:val="06FC2E84"/>
    <w:lvl w:ilvl="0" w:tplc="E56847E4">
      <w:start w:val="1"/>
      <w:numFmt w:val="decimal"/>
      <w:lvlText w:val="%1."/>
      <w:lvlJc w:val="left"/>
      <w:pPr>
        <w:ind w:left="540" w:hanging="360"/>
      </w:pPr>
      <w:rPr>
        <w:rFonts w:hint="default"/>
        <w:sz w:val="18"/>
        <w:szCs w:val="18"/>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3">
    <w:nsid w:val="2E8443E8"/>
    <w:multiLevelType w:val="hybridMultilevel"/>
    <w:tmpl w:val="DECCE034"/>
    <w:lvl w:ilvl="0" w:tplc="BF804D0A">
      <w:start w:val="1"/>
      <w:numFmt w:val="decimal"/>
      <w:lvlText w:val="%1)"/>
      <w:lvlJc w:val="left"/>
      <w:pPr>
        <w:tabs>
          <w:tab w:val="num" w:pos="720"/>
        </w:tabs>
        <w:ind w:left="720" w:hanging="360"/>
      </w:pPr>
      <w:rPr>
        <w:rFonts w:hint="default"/>
        <w:b w:val="0"/>
        <w:sz w:val="18"/>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6E934334"/>
    <w:multiLevelType w:val="hybridMultilevel"/>
    <w:tmpl w:val="06FC2E84"/>
    <w:lvl w:ilvl="0" w:tplc="E56847E4">
      <w:start w:val="1"/>
      <w:numFmt w:val="decimal"/>
      <w:lvlText w:val="%1."/>
      <w:lvlJc w:val="left"/>
      <w:pPr>
        <w:ind w:left="540" w:hanging="360"/>
      </w:pPr>
      <w:rPr>
        <w:rFonts w:hint="default"/>
        <w:sz w:val="18"/>
        <w:szCs w:val="18"/>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9C"/>
    <w:rsid w:val="00006CF1"/>
    <w:rsid w:val="00015C80"/>
    <w:rsid w:val="000217B8"/>
    <w:rsid w:val="00034806"/>
    <w:rsid w:val="00040A6D"/>
    <w:rsid w:val="000778ED"/>
    <w:rsid w:val="000B7E8B"/>
    <w:rsid w:val="000C757F"/>
    <w:rsid w:val="000D50BD"/>
    <w:rsid w:val="000E462F"/>
    <w:rsid w:val="000F6D29"/>
    <w:rsid w:val="0012491E"/>
    <w:rsid w:val="00145F2F"/>
    <w:rsid w:val="0015099C"/>
    <w:rsid w:val="00157352"/>
    <w:rsid w:val="001712DD"/>
    <w:rsid w:val="00173713"/>
    <w:rsid w:val="0018117E"/>
    <w:rsid w:val="001815AB"/>
    <w:rsid w:val="001840EA"/>
    <w:rsid w:val="001977C3"/>
    <w:rsid w:val="00210B42"/>
    <w:rsid w:val="00230AD6"/>
    <w:rsid w:val="002361FB"/>
    <w:rsid w:val="002670BE"/>
    <w:rsid w:val="002B603C"/>
    <w:rsid w:val="002C0347"/>
    <w:rsid w:val="002D0689"/>
    <w:rsid w:val="00317F10"/>
    <w:rsid w:val="00336A1A"/>
    <w:rsid w:val="00384EC1"/>
    <w:rsid w:val="003E4B04"/>
    <w:rsid w:val="003E603E"/>
    <w:rsid w:val="00402483"/>
    <w:rsid w:val="0041156C"/>
    <w:rsid w:val="0042537D"/>
    <w:rsid w:val="00457B4A"/>
    <w:rsid w:val="00471E34"/>
    <w:rsid w:val="00473BBC"/>
    <w:rsid w:val="004A079F"/>
    <w:rsid w:val="004A7664"/>
    <w:rsid w:val="004B32F0"/>
    <w:rsid w:val="004C642A"/>
    <w:rsid w:val="004F11A7"/>
    <w:rsid w:val="004F5E03"/>
    <w:rsid w:val="0050216F"/>
    <w:rsid w:val="00506BAF"/>
    <w:rsid w:val="00520044"/>
    <w:rsid w:val="00552C53"/>
    <w:rsid w:val="005640C2"/>
    <w:rsid w:val="005766EA"/>
    <w:rsid w:val="005D54A9"/>
    <w:rsid w:val="00614FC8"/>
    <w:rsid w:val="0063499C"/>
    <w:rsid w:val="006512C7"/>
    <w:rsid w:val="006729FA"/>
    <w:rsid w:val="006810A5"/>
    <w:rsid w:val="006E142E"/>
    <w:rsid w:val="006F548E"/>
    <w:rsid w:val="006F6B22"/>
    <w:rsid w:val="00737F99"/>
    <w:rsid w:val="007602AC"/>
    <w:rsid w:val="007C3BEC"/>
    <w:rsid w:val="007D761F"/>
    <w:rsid w:val="007E1CE7"/>
    <w:rsid w:val="00850A82"/>
    <w:rsid w:val="00864424"/>
    <w:rsid w:val="008817BB"/>
    <w:rsid w:val="008C122D"/>
    <w:rsid w:val="008E789B"/>
    <w:rsid w:val="008F001A"/>
    <w:rsid w:val="008F1AEF"/>
    <w:rsid w:val="0090420C"/>
    <w:rsid w:val="0090587D"/>
    <w:rsid w:val="0093398C"/>
    <w:rsid w:val="00947CB5"/>
    <w:rsid w:val="00977884"/>
    <w:rsid w:val="009B21A0"/>
    <w:rsid w:val="009C2677"/>
    <w:rsid w:val="009C5F2B"/>
    <w:rsid w:val="009D0FC3"/>
    <w:rsid w:val="009D5AC0"/>
    <w:rsid w:val="009E19A6"/>
    <w:rsid w:val="009F164F"/>
    <w:rsid w:val="00A04531"/>
    <w:rsid w:val="00A10CDD"/>
    <w:rsid w:val="00A14EE9"/>
    <w:rsid w:val="00A20F6E"/>
    <w:rsid w:val="00A2599A"/>
    <w:rsid w:val="00A338BC"/>
    <w:rsid w:val="00A55D45"/>
    <w:rsid w:val="00A56F46"/>
    <w:rsid w:val="00A6076C"/>
    <w:rsid w:val="00A75C1D"/>
    <w:rsid w:val="00A81B5E"/>
    <w:rsid w:val="00A92B1B"/>
    <w:rsid w:val="00AA1A29"/>
    <w:rsid w:val="00AC495C"/>
    <w:rsid w:val="00AD62AF"/>
    <w:rsid w:val="00AE5FB5"/>
    <w:rsid w:val="00AF4AF4"/>
    <w:rsid w:val="00B01F5C"/>
    <w:rsid w:val="00B17911"/>
    <w:rsid w:val="00B17D92"/>
    <w:rsid w:val="00B3410C"/>
    <w:rsid w:val="00B41493"/>
    <w:rsid w:val="00B52BAD"/>
    <w:rsid w:val="00B561EF"/>
    <w:rsid w:val="00B605A5"/>
    <w:rsid w:val="00B9035F"/>
    <w:rsid w:val="00B9548F"/>
    <w:rsid w:val="00BC64BD"/>
    <w:rsid w:val="00BF0B81"/>
    <w:rsid w:val="00C0605D"/>
    <w:rsid w:val="00C11EEB"/>
    <w:rsid w:val="00C858D6"/>
    <w:rsid w:val="00CD6D36"/>
    <w:rsid w:val="00D11A50"/>
    <w:rsid w:val="00D13138"/>
    <w:rsid w:val="00D32253"/>
    <w:rsid w:val="00D324DD"/>
    <w:rsid w:val="00D61A7A"/>
    <w:rsid w:val="00D8145F"/>
    <w:rsid w:val="00D9687F"/>
    <w:rsid w:val="00DB4BC0"/>
    <w:rsid w:val="00DC3C9A"/>
    <w:rsid w:val="00DF5345"/>
    <w:rsid w:val="00E23E11"/>
    <w:rsid w:val="00E43CD6"/>
    <w:rsid w:val="00E76054"/>
    <w:rsid w:val="00E77221"/>
    <w:rsid w:val="00E856FD"/>
    <w:rsid w:val="00EB35D1"/>
    <w:rsid w:val="00EE3111"/>
    <w:rsid w:val="00EF23A0"/>
    <w:rsid w:val="00F30FDC"/>
    <w:rsid w:val="00F31610"/>
    <w:rsid w:val="00F3541A"/>
    <w:rsid w:val="00F45C55"/>
    <w:rsid w:val="00F64EB3"/>
    <w:rsid w:val="00F91098"/>
    <w:rsid w:val="00F97457"/>
    <w:rsid w:val="00FC5FD6"/>
    <w:rsid w:val="00FE3842"/>
    <w:rsid w:val="00FF7D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8C122D"/>
    <w:rPr>
      <w:color w:val="0000FF" w:themeColor="hyperlink"/>
      <w:u w:val="single"/>
    </w:rPr>
  </w:style>
  <w:style w:type="paragraph" w:styleId="Listaszerbekezds">
    <w:name w:val="List Paragraph"/>
    <w:basedOn w:val="Norml"/>
    <w:uiPriority w:val="34"/>
    <w:qFormat/>
    <w:rsid w:val="00457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8C122D"/>
    <w:rPr>
      <w:color w:val="0000FF" w:themeColor="hyperlink"/>
      <w:u w:val="single"/>
    </w:rPr>
  </w:style>
  <w:style w:type="paragraph" w:styleId="Listaszerbekezds">
    <w:name w:val="List Paragraph"/>
    <w:basedOn w:val="Norml"/>
    <w:uiPriority w:val="34"/>
    <w:qFormat/>
    <w:rsid w:val="0045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192576311">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1427</Words>
  <Characters>9853</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KPG Consult</cp:lastModifiedBy>
  <cp:revision>4</cp:revision>
  <dcterms:created xsi:type="dcterms:W3CDTF">2017-03-06T05:33:00Z</dcterms:created>
  <dcterms:modified xsi:type="dcterms:W3CDTF">2017-03-10T10:58:00Z</dcterms:modified>
</cp:coreProperties>
</file>